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4AE58" w14:textId="77777777" w:rsidR="00F56390" w:rsidRDefault="00F56390" w:rsidP="00581FFD">
      <w:pPr>
        <w:jc w:val="center"/>
        <w:rPr>
          <w:b/>
          <w:bCs/>
          <w:sz w:val="26"/>
          <w:szCs w:val="26"/>
          <w:rtl/>
        </w:rPr>
      </w:pPr>
      <w:bookmarkStart w:id="0" w:name="_Toc503130993"/>
      <w:bookmarkStart w:id="1" w:name="_Hlk149725584"/>
      <w:r>
        <w:rPr>
          <w:noProof/>
        </w:rPr>
        <w:drawing>
          <wp:inline distT="0" distB="0" distL="0" distR="0" wp14:anchorId="4E5C6406" wp14:editId="4976228E">
            <wp:extent cx="509905" cy="624205"/>
            <wp:effectExtent l="0" t="0" r="4445" b="4445"/>
            <wp:docPr id="1" name="תמונה 1" descr="סמל המדינה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 descr="סמל המדינה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147C0" w14:textId="77777777" w:rsidR="00F56390" w:rsidRDefault="00F56390" w:rsidP="00581FFD">
      <w:pPr>
        <w:rPr>
          <w:b/>
          <w:bCs/>
          <w:sz w:val="26"/>
          <w:szCs w:val="26"/>
          <w:rtl/>
        </w:rPr>
      </w:pPr>
      <w:r w:rsidRPr="00CB5068">
        <w:rPr>
          <w:b/>
          <w:bCs/>
          <w:sz w:val="26"/>
          <w:szCs w:val="26"/>
          <w:rtl/>
        </w:rPr>
        <w:t>תוכן עניינים</w:t>
      </w:r>
    </w:p>
    <w:p w14:paraId="46DA6C2A" w14:textId="77777777" w:rsidR="004A5E33" w:rsidRDefault="004A5E33" w:rsidP="004A5E33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o "1-9" \h \z \t "Table SideHeading,3,Table Head,2,Head HatzaotHok,1,Head DivreiHesber,2,Head HatzaotHok4Futer,1</w:instrText>
      </w:r>
      <w:r>
        <w:rPr>
          <w:rtl/>
        </w:rPr>
        <w:instrText xml:space="preserve">" </w:instrText>
      </w:r>
      <w:r>
        <w:rPr>
          <w:rtl/>
        </w:rPr>
        <w:fldChar w:fldCharType="separate"/>
      </w:r>
      <w:hyperlink w:anchor="_Toc149664510" w:history="1">
        <w:r w:rsidRPr="0018553D">
          <w:rPr>
            <w:rStyle w:val="Hyperlink"/>
            <w:noProof/>
            <w:rtl/>
          </w:rPr>
          <w:t>תזכיר חוק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Toc149664510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2</w:t>
        </w:r>
        <w:r>
          <w:rPr>
            <w:rStyle w:val="Hyperlink"/>
            <w:noProof/>
            <w:rtl/>
          </w:rPr>
          <w:fldChar w:fldCharType="end"/>
        </w:r>
      </w:hyperlink>
    </w:p>
    <w:p w14:paraId="447451D0" w14:textId="77777777" w:rsidR="004A5E33" w:rsidRDefault="00000000" w:rsidP="004A5E33">
      <w:pPr>
        <w:pStyle w:val="TOC4"/>
        <w:rPr>
          <w:rFonts w:cstheme="minorBidi"/>
          <w:rtl/>
        </w:rPr>
      </w:pPr>
      <w:hyperlink w:anchor="_Toc149664511" w:history="1">
        <w:r w:rsidR="004A5E33" w:rsidRPr="0018553D">
          <w:rPr>
            <w:rStyle w:val="Hyperlink"/>
            <w:rtl/>
          </w:rPr>
          <w:t>א. שם החוק המוצע</w:t>
        </w:r>
        <w:r w:rsidR="004A5E33">
          <w:rPr>
            <w:webHidden/>
            <w:rtl/>
          </w:rPr>
          <w:tab/>
        </w:r>
        <w:r w:rsidR="004A5E33">
          <w:rPr>
            <w:rStyle w:val="Hyperlink"/>
            <w:rtl/>
          </w:rPr>
          <w:fldChar w:fldCharType="begin"/>
        </w:r>
        <w:r w:rsidR="004A5E33">
          <w:rPr>
            <w:webHidden/>
            <w:rtl/>
          </w:rPr>
          <w:instrText xml:space="preserve"> </w:instrText>
        </w:r>
        <w:r w:rsidR="004A5E33">
          <w:rPr>
            <w:webHidden/>
          </w:rPr>
          <w:instrText>PAGEREF</w:instrText>
        </w:r>
        <w:r w:rsidR="004A5E33">
          <w:rPr>
            <w:webHidden/>
            <w:rtl/>
          </w:rPr>
          <w:instrText xml:space="preserve"> _</w:instrText>
        </w:r>
        <w:r w:rsidR="004A5E33">
          <w:rPr>
            <w:webHidden/>
          </w:rPr>
          <w:instrText>Toc149664511 \h</w:instrText>
        </w:r>
        <w:r w:rsidR="004A5E33">
          <w:rPr>
            <w:webHidden/>
            <w:rtl/>
          </w:rPr>
          <w:instrText xml:space="preserve"> </w:instrText>
        </w:r>
        <w:r w:rsidR="004A5E33">
          <w:rPr>
            <w:rStyle w:val="Hyperlink"/>
            <w:rtl/>
          </w:rPr>
        </w:r>
        <w:r w:rsidR="004A5E33">
          <w:rPr>
            <w:rStyle w:val="Hyperlink"/>
            <w:rtl/>
          </w:rPr>
          <w:fldChar w:fldCharType="separate"/>
        </w:r>
        <w:r w:rsidR="004A5E33">
          <w:rPr>
            <w:webHidden/>
            <w:rtl/>
          </w:rPr>
          <w:t>2</w:t>
        </w:r>
        <w:r w:rsidR="004A5E33">
          <w:rPr>
            <w:rStyle w:val="Hyperlink"/>
            <w:rtl/>
          </w:rPr>
          <w:fldChar w:fldCharType="end"/>
        </w:r>
      </w:hyperlink>
    </w:p>
    <w:p w14:paraId="3D736823" w14:textId="77777777" w:rsidR="004A5E33" w:rsidRDefault="00000000" w:rsidP="004A5E33">
      <w:pPr>
        <w:pStyle w:val="TOC4"/>
        <w:rPr>
          <w:rFonts w:cstheme="minorBidi"/>
          <w:rtl/>
        </w:rPr>
      </w:pPr>
      <w:hyperlink w:anchor="_Toc149664512" w:history="1">
        <w:r w:rsidR="004A5E33" w:rsidRPr="0018553D">
          <w:rPr>
            <w:rStyle w:val="Hyperlink"/>
            <w:rtl/>
          </w:rPr>
          <w:t>ב. מטרת החוק המוצע, הצורך בו, עיקרי הוראותיו והשפעתו על הדין הקיים</w:t>
        </w:r>
        <w:r w:rsidR="004A5E33">
          <w:rPr>
            <w:webHidden/>
            <w:rtl/>
          </w:rPr>
          <w:tab/>
        </w:r>
        <w:r w:rsidR="004A5E33">
          <w:rPr>
            <w:rStyle w:val="Hyperlink"/>
            <w:rtl/>
          </w:rPr>
          <w:fldChar w:fldCharType="begin"/>
        </w:r>
        <w:r w:rsidR="004A5E33">
          <w:rPr>
            <w:webHidden/>
            <w:rtl/>
          </w:rPr>
          <w:instrText xml:space="preserve"> </w:instrText>
        </w:r>
        <w:r w:rsidR="004A5E33">
          <w:rPr>
            <w:webHidden/>
          </w:rPr>
          <w:instrText>PAGEREF</w:instrText>
        </w:r>
        <w:r w:rsidR="004A5E33">
          <w:rPr>
            <w:webHidden/>
            <w:rtl/>
          </w:rPr>
          <w:instrText xml:space="preserve"> _</w:instrText>
        </w:r>
        <w:r w:rsidR="004A5E33">
          <w:rPr>
            <w:webHidden/>
          </w:rPr>
          <w:instrText>Toc149664512 \h</w:instrText>
        </w:r>
        <w:r w:rsidR="004A5E33">
          <w:rPr>
            <w:webHidden/>
            <w:rtl/>
          </w:rPr>
          <w:instrText xml:space="preserve"> </w:instrText>
        </w:r>
        <w:r w:rsidR="004A5E33">
          <w:rPr>
            <w:rStyle w:val="Hyperlink"/>
            <w:rtl/>
          </w:rPr>
        </w:r>
        <w:r w:rsidR="004A5E33">
          <w:rPr>
            <w:rStyle w:val="Hyperlink"/>
            <w:rtl/>
          </w:rPr>
          <w:fldChar w:fldCharType="separate"/>
        </w:r>
        <w:r w:rsidR="004A5E33">
          <w:rPr>
            <w:webHidden/>
            <w:rtl/>
          </w:rPr>
          <w:t>2</w:t>
        </w:r>
        <w:r w:rsidR="004A5E33">
          <w:rPr>
            <w:rStyle w:val="Hyperlink"/>
            <w:rtl/>
          </w:rPr>
          <w:fldChar w:fldCharType="end"/>
        </w:r>
      </w:hyperlink>
    </w:p>
    <w:p w14:paraId="0F6EDCD0" w14:textId="77777777" w:rsidR="004A5E33" w:rsidRDefault="00000000" w:rsidP="004A5E33">
      <w:pPr>
        <w:pStyle w:val="TOC4"/>
        <w:rPr>
          <w:rFonts w:cstheme="minorBidi"/>
          <w:rtl/>
        </w:rPr>
      </w:pPr>
      <w:hyperlink w:anchor="_Toc149664513" w:history="1">
        <w:r w:rsidR="004A5E33" w:rsidRPr="0018553D">
          <w:rPr>
            <w:rStyle w:val="Hyperlink"/>
            <w:rtl/>
          </w:rPr>
          <w:t>ג. השפעת החוק המוצע על קבוצות אוכלוסייה מסוימות</w:t>
        </w:r>
        <w:r w:rsidR="004A5E33">
          <w:rPr>
            <w:webHidden/>
            <w:rtl/>
          </w:rPr>
          <w:tab/>
        </w:r>
        <w:r w:rsidR="004A5E33">
          <w:rPr>
            <w:rStyle w:val="Hyperlink"/>
            <w:rtl/>
          </w:rPr>
          <w:fldChar w:fldCharType="begin"/>
        </w:r>
        <w:r w:rsidR="004A5E33">
          <w:rPr>
            <w:webHidden/>
            <w:rtl/>
          </w:rPr>
          <w:instrText xml:space="preserve"> </w:instrText>
        </w:r>
        <w:r w:rsidR="004A5E33">
          <w:rPr>
            <w:webHidden/>
          </w:rPr>
          <w:instrText>PAGEREF</w:instrText>
        </w:r>
        <w:r w:rsidR="004A5E33">
          <w:rPr>
            <w:webHidden/>
            <w:rtl/>
          </w:rPr>
          <w:instrText xml:space="preserve"> _</w:instrText>
        </w:r>
        <w:r w:rsidR="004A5E33">
          <w:rPr>
            <w:webHidden/>
          </w:rPr>
          <w:instrText>Toc149664513 \h</w:instrText>
        </w:r>
        <w:r w:rsidR="004A5E33">
          <w:rPr>
            <w:webHidden/>
            <w:rtl/>
          </w:rPr>
          <w:instrText xml:space="preserve"> </w:instrText>
        </w:r>
        <w:r w:rsidR="004A5E33">
          <w:rPr>
            <w:rStyle w:val="Hyperlink"/>
            <w:rtl/>
          </w:rPr>
        </w:r>
        <w:r w:rsidR="004A5E33">
          <w:rPr>
            <w:rStyle w:val="Hyperlink"/>
            <w:rtl/>
          </w:rPr>
          <w:fldChar w:fldCharType="separate"/>
        </w:r>
        <w:r w:rsidR="004A5E33">
          <w:rPr>
            <w:webHidden/>
            <w:rtl/>
          </w:rPr>
          <w:t>3</w:t>
        </w:r>
        <w:r w:rsidR="004A5E33">
          <w:rPr>
            <w:rStyle w:val="Hyperlink"/>
            <w:rtl/>
          </w:rPr>
          <w:fldChar w:fldCharType="end"/>
        </w:r>
      </w:hyperlink>
    </w:p>
    <w:p w14:paraId="2B19BFBA" w14:textId="77777777" w:rsidR="004A5E33" w:rsidRDefault="00000000" w:rsidP="004A5E33">
      <w:pPr>
        <w:pStyle w:val="TOC4"/>
        <w:rPr>
          <w:rFonts w:cstheme="minorBidi"/>
          <w:rtl/>
        </w:rPr>
      </w:pPr>
      <w:hyperlink w:anchor="_Toc149664514" w:history="1">
        <w:r w:rsidR="004A5E33" w:rsidRPr="0018553D">
          <w:rPr>
            <w:rStyle w:val="Hyperlink"/>
            <w:rtl/>
          </w:rPr>
          <w:t>ד. השפעת תזכיר החוק המוצע על התקציב ועל התקן המנהלי של המשרד היוזם, משרדים אחרים ורשויות אחרות.</w:t>
        </w:r>
        <w:r w:rsidR="004A5E33">
          <w:rPr>
            <w:webHidden/>
            <w:rtl/>
          </w:rPr>
          <w:tab/>
        </w:r>
        <w:r w:rsidR="004A5E33">
          <w:rPr>
            <w:rStyle w:val="Hyperlink"/>
            <w:rtl/>
          </w:rPr>
          <w:fldChar w:fldCharType="begin"/>
        </w:r>
        <w:r w:rsidR="004A5E33">
          <w:rPr>
            <w:webHidden/>
            <w:rtl/>
          </w:rPr>
          <w:instrText xml:space="preserve"> </w:instrText>
        </w:r>
        <w:r w:rsidR="004A5E33">
          <w:rPr>
            <w:webHidden/>
          </w:rPr>
          <w:instrText>PAGEREF</w:instrText>
        </w:r>
        <w:r w:rsidR="004A5E33">
          <w:rPr>
            <w:webHidden/>
            <w:rtl/>
          </w:rPr>
          <w:instrText xml:space="preserve"> _</w:instrText>
        </w:r>
        <w:r w:rsidR="004A5E33">
          <w:rPr>
            <w:webHidden/>
          </w:rPr>
          <w:instrText>Toc149664514 \h</w:instrText>
        </w:r>
        <w:r w:rsidR="004A5E33">
          <w:rPr>
            <w:webHidden/>
            <w:rtl/>
          </w:rPr>
          <w:instrText xml:space="preserve"> </w:instrText>
        </w:r>
        <w:r w:rsidR="004A5E33">
          <w:rPr>
            <w:rStyle w:val="Hyperlink"/>
            <w:rtl/>
          </w:rPr>
        </w:r>
        <w:r w:rsidR="004A5E33">
          <w:rPr>
            <w:rStyle w:val="Hyperlink"/>
            <w:rtl/>
          </w:rPr>
          <w:fldChar w:fldCharType="separate"/>
        </w:r>
        <w:r w:rsidR="004A5E33">
          <w:rPr>
            <w:webHidden/>
            <w:rtl/>
          </w:rPr>
          <w:t>3</w:t>
        </w:r>
        <w:r w:rsidR="004A5E33">
          <w:rPr>
            <w:rStyle w:val="Hyperlink"/>
            <w:rtl/>
          </w:rPr>
          <w:fldChar w:fldCharType="end"/>
        </w:r>
      </w:hyperlink>
    </w:p>
    <w:p w14:paraId="15DD03D6" w14:textId="77777777" w:rsidR="004A5E33" w:rsidRDefault="00000000" w:rsidP="004A5E33">
      <w:pPr>
        <w:pStyle w:val="TOC4"/>
        <w:rPr>
          <w:rFonts w:cstheme="minorBidi"/>
          <w:rtl/>
        </w:rPr>
      </w:pPr>
      <w:hyperlink w:anchor="_Toc149664515" w:history="1">
        <w:r w:rsidR="004A5E33" w:rsidRPr="0018553D">
          <w:rPr>
            <w:rStyle w:val="Hyperlink"/>
            <w:rtl/>
          </w:rPr>
          <w:t>ה. להלן נוסח תזכיר החוק המוצע ודברי הסבר</w:t>
        </w:r>
        <w:r w:rsidR="004A5E33">
          <w:rPr>
            <w:webHidden/>
            <w:rtl/>
          </w:rPr>
          <w:tab/>
        </w:r>
        <w:r w:rsidR="004A5E33">
          <w:rPr>
            <w:rStyle w:val="Hyperlink"/>
            <w:rtl/>
          </w:rPr>
          <w:fldChar w:fldCharType="begin"/>
        </w:r>
        <w:r w:rsidR="004A5E33">
          <w:rPr>
            <w:webHidden/>
            <w:rtl/>
          </w:rPr>
          <w:instrText xml:space="preserve"> </w:instrText>
        </w:r>
        <w:r w:rsidR="004A5E33">
          <w:rPr>
            <w:webHidden/>
          </w:rPr>
          <w:instrText>PAGEREF</w:instrText>
        </w:r>
        <w:r w:rsidR="004A5E33">
          <w:rPr>
            <w:webHidden/>
            <w:rtl/>
          </w:rPr>
          <w:instrText xml:space="preserve"> _</w:instrText>
        </w:r>
        <w:r w:rsidR="004A5E33">
          <w:rPr>
            <w:webHidden/>
          </w:rPr>
          <w:instrText>Toc149664515 \h</w:instrText>
        </w:r>
        <w:r w:rsidR="004A5E33">
          <w:rPr>
            <w:webHidden/>
            <w:rtl/>
          </w:rPr>
          <w:instrText xml:space="preserve"> </w:instrText>
        </w:r>
        <w:r w:rsidR="004A5E33">
          <w:rPr>
            <w:rStyle w:val="Hyperlink"/>
            <w:rtl/>
          </w:rPr>
        </w:r>
        <w:r w:rsidR="004A5E33">
          <w:rPr>
            <w:rStyle w:val="Hyperlink"/>
            <w:rtl/>
          </w:rPr>
          <w:fldChar w:fldCharType="separate"/>
        </w:r>
        <w:r w:rsidR="004A5E33">
          <w:rPr>
            <w:webHidden/>
            <w:rtl/>
          </w:rPr>
          <w:t>3</w:t>
        </w:r>
        <w:r w:rsidR="004A5E33">
          <w:rPr>
            <w:rStyle w:val="Hyperlink"/>
            <w:rtl/>
          </w:rPr>
          <w:fldChar w:fldCharType="end"/>
        </w:r>
      </w:hyperlink>
    </w:p>
    <w:p w14:paraId="5AE8E43C" w14:textId="77777777" w:rsidR="004A5E33" w:rsidRDefault="00000000" w:rsidP="004A5E33">
      <w:pPr>
        <w:pStyle w:val="TOC3"/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149664516" w:history="1">
        <w:r w:rsidR="004A5E33" w:rsidRPr="0018553D">
          <w:rPr>
            <w:rStyle w:val="Hyperlink"/>
            <w:noProof/>
            <w:rtl/>
          </w:rPr>
          <w:t>הגדרה</w:t>
        </w:r>
        <w:r w:rsidR="004A5E33">
          <w:rPr>
            <w:noProof/>
            <w:webHidden/>
            <w:rtl/>
          </w:rPr>
          <w:tab/>
        </w:r>
        <w:r w:rsidR="004A5E33">
          <w:rPr>
            <w:rStyle w:val="Hyperlink"/>
            <w:noProof/>
            <w:rtl/>
          </w:rPr>
          <w:fldChar w:fldCharType="begin"/>
        </w:r>
        <w:r w:rsidR="004A5E33">
          <w:rPr>
            <w:noProof/>
            <w:webHidden/>
            <w:rtl/>
          </w:rPr>
          <w:instrText xml:space="preserve"> </w:instrText>
        </w:r>
        <w:r w:rsidR="004A5E33">
          <w:rPr>
            <w:noProof/>
            <w:webHidden/>
          </w:rPr>
          <w:instrText>PAGEREF</w:instrText>
        </w:r>
        <w:r w:rsidR="004A5E33">
          <w:rPr>
            <w:noProof/>
            <w:webHidden/>
            <w:rtl/>
          </w:rPr>
          <w:instrText xml:space="preserve"> _</w:instrText>
        </w:r>
        <w:r w:rsidR="004A5E33">
          <w:rPr>
            <w:noProof/>
            <w:webHidden/>
          </w:rPr>
          <w:instrText>Toc149664516 \h</w:instrText>
        </w:r>
        <w:r w:rsidR="004A5E33">
          <w:rPr>
            <w:noProof/>
            <w:webHidden/>
            <w:rtl/>
          </w:rPr>
          <w:instrText xml:space="preserve"> </w:instrText>
        </w:r>
        <w:r w:rsidR="004A5E33">
          <w:rPr>
            <w:rStyle w:val="Hyperlink"/>
            <w:noProof/>
            <w:rtl/>
          </w:rPr>
        </w:r>
        <w:r w:rsidR="004A5E33">
          <w:rPr>
            <w:rStyle w:val="Hyperlink"/>
            <w:noProof/>
            <w:rtl/>
          </w:rPr>
          <w:fldChar w:fldCharType="separate"/>
        </w:r>
        <w:r w:rsidR="004A5E33">
          <w:rPr>
            <w:noProof/>
            <w:webHidden/>
            <w:rtl/>
          </w:rPr>
          <w:t>4</w:t>
        </w:r>
        <w:r w:rsidR="004A5E33">
          <w:rPr>
            <w:rStyle w:val="Hyperlink"/>
            <w:noProof/>
            <w:rtl/>
          </w:rPr>
          <w:fldChar w:fldCharType="end"/>
        </w:r>
      </w:hyperlink>
    </w:p>
    <w:p w14:paraId="3388B42E" w14:textId="77777777" w:rsidR="004A5E33" w:rsidRDefault="00000000" w:rsidP="004A5E33">
      <w:pPr>
        <w:pStyle w:val="TOC3"/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149664517" w:history="1">
        <w:r w:rsidR="004A5E33" w:rsidRPr="0018553D">
          <w:rPr>
            <w:rStyle w:val="Hyperlink"/>
            <w:noProof/>
            <w:rtl/>
          </w:rPr>
          <w:t>דחיית תקופות ומועדים בהליכי מס</w:t>
        </w:r>
        <w:r w:rsidR="004A5E33">
          <w:rPr>
            <w:noProof/>
            <w:webHidden/>
            <w:rtl/>
          </w:rPr>
          <w:tab/>
        </w:r>
        <w:r w:rsidR="004A5E33">
          <w:rPr>
            <w:rStyle w:val="Hyperlink"/>
            <w:noProof/>
            <w:rtl/>
          </w:rPr>
          <w:fldChar w:fldCharType="begin"/>
        </w:r>
        <w:r w:rsidR="004A5E33">
          <w:rPr>
            <w:noProof/>
            <w:webHidden/>
            <w:rtl/>
          </w:rPr>
          <w:instrText xml:space="preserve"> </w:instrText>
        </w:r>
        <w:r w:rsidR="004A5E33">
          <w:rPr>
            <w:noProof/>
            <w:webHidden/>
          </w:rPr>
          <w:instrText>PAGEREF</w:instrText>
        </w:r>
        <w:r w:rsidR="004A5E33">
          <w:rPr>
            <w:noProof/>
            <w:webHidden/>
            <w:rtl/>
          </w:rPr>
          <w:instrText xml:space="preserve"> _</w:instrText>
        </w:r>
        <w:r w:rsidR="004A5E33">
          <w:rPr>
            <w:noProof/>
            <w:webHidden/>
          </w:rPr>
          <w:instrText>Toc149664517 \h</w:instrText>
        </w:r>
        <w:r w:rsidR="004A5E33">
          <w:rPr>
            <w:noProof/>
            <w:webHidden/>
            <w:rtl/>
          </w:rPr>
          <w:instrText xml:space="preserve"> </w:instrText>
        </w:r>
        <w:r w:rsidR="004A5E33">
          <w:rPr>
            <w:rStyle w:val="Hyperlink"/>
            <w:noProof/>
            <w:rtl/>
          </w:rPr>
        </w:r>
        <w:r w:rsidR="004A5E33">
          <w:rPr>
            <w:rStyle w:val="Hyperlink"/>
            <w:noProof/>
            <w:rtl/>
          </w:rPr>
          <w:fldChar w:fldCharType="separate"/>
        </w:r>
        <w:r w:rsidR="004A5E33">
          <w:rPr>
            <w:noProof/>
            <w:webHidden/>
            <w:rtl/>
          </w:rPr>
          <w:t>4</w:t>
        </w:r>
        <w:r w:rsidR="004A5E33">
          <w:rPr>
            <w:rStyle w:val="Hyperlink"/>
            <w:noProof/>
            <w:rtl/>
          </w:rPr>
          <w:fldChar w:fldCharType="end"/>
        </w:r>
      </w:hyperlink>
    </w:p>
    <w:p w14:paraId="1E750F25" w14:textId="77777777" w:rsidR="004A5E33" w:rsidRDefault="00000000" w:rsidP="004A5E33">
      <w:pPr>
        <w:pStyle w:val="TOC3"/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149664518" w:history="1">
        <w:r w:rsidR="004A5E33" w:rsidRPr="0018553D">
          <w:rPr>
            <w:rStyle w:val="Hyperlink"/>
            <w:noProof/>
            <w:rtl/>
          </w:rPr>
          <w:t>הארכת תקופות לעניין דירת מגורים יחידה בחוק מיסוי מקרקעין</w:t>
        </w:r>
        <w:r w:rsidR="004A5E33">
          <w:rPr>
            <w:noProof/>
            <w:webHidden/>
            <w:rtl/>
          </w:rPr>
          <w:tab/>
        </w:r>
        <w:r w:rsidR="004A5E33">
          <w:rPr>
            <w:rStyle w:val="Hyperlink"/>
            <w:noProof/>
            <w:rtl/>
          </w:rPr>
          <w:fldChar w:fldCharType="begin"/>
        </w:r>
        <w:r w:rsidR="004A5E33">
          <w:rPr>
            <w:noProof/>
            <w:webHidden/>
            <w:rtl/>
          </w:rPr>
          <w:instrText xml:space="preserve"> </w:instrText>
        </w:r>
        <w:r w:rsidR="004A5E33">
          <w:rPr>
            <w:noProof/>
            <w:webHidden/>
          </w:rPr>
          <w:instrText>PAGEREF</w:instrText>
        </w:r>
        <w:r w:rsidR="004A5E33">
          <w:rPr>
            <w:noProof/>
            <w:webHidden/>
            <w:rtl/>
          </w:rPr>
          <w:instrText xml:space="preserve"> _</w:instrText>
        </w:r>
        <w:r w:rsidR="004A5E33">
          <w:rPr>
            <w:noProof/>
            <w:webHidden/>
          </w:rPr>
          <w:instrText>Toc149664518 \h</w:instrText>
        </w:r>
        <w:r w:rsidR="004A5E33">
          <w:rPr>
            <w:noProof/>
            <w:webHidden/>
            <w:rtl/>
          </w:rPr>
          <w:instrText xml:space="preserve"> </w:instrText>
        </w:r>
        <w:r w:rsidR="004A5E33">
          <w:rPr>
            <w:rStyle w:val="Hyperlink"/>
            <w:noProof/>
            <w:rtl/>
          </w:rPr>
        </w:r>
        <w:r w:rsidR="004A5E33">
          <w:rPr>
            <w:rStyle w:val="Hyperlink"/>
            <w:noProof/>
            <w:rtl/>
          </w:rPr>
          <w:fldChar w:fldCharType="separate"/>
        </w:r>
        <w:r w:rsidR="004A5E33">
          <w:rPr>
            <w:noProof/>
            <w:webHidden/>
            <w:rtl/>
          </w:rPr>
          <w:t>8</w:t>
        </w:r>
        <w:r w:rsidR="004A5E33">
          <w:rPr>
            <w:rStyle w:val="Hyperlink"/>
            <w:noProof/>
            <w:rtl/>
          </w:rPr>
          <w:fldChar w:fldCharType="end"/>
        </w:r>
      </w:hyperlink>
    </w:p>
    <w:p w14:paraId="0BD2CE65" w14:textId="77777777" w:rsidR="004A5E33" w:rsidRDefault="00000000" w:rsidP="004A5E33">
      <w:pPr>
        <w:pStyle w:val="TOC2"/>
        <w:rPr>
          <w:rFonts w:asciiTheme="minorHAnsi" w:eastAsiaTheme="minorEastAsia" w:hAnsiTheme="minorHAnsi" w:cstheme="minorBidi"/>
          <w:noProof/>
          <w:sz w:val="22"/>
          <w:rtl/>
        </w:rPr>
      </w:pPr>
      <w:hyperlink w:anchor="_Toc149664519" w:history="1">
        <w:r w:rsidR="004A5E33" w:rsidRPr="0018553D">
          <w:rPr>
            <w:rStyle w:val="Hyperlink"/>
            <w:bCs/>
            <w:noProof/>
            <w:rtl/>
          </w:rPr>
          <w:t>דברי הסבר</w:t>
        </w:r>
        <w:r w:rsidR="004A5E33">
          <w:rPr>
            <w:noProof/>
            <w:webHidden/>
            <w:rtl/>
          </w:rPr>
          <w:tab/>
        </w:r>
        <w:r w:rsidR="004A5E33">
          <w:rPr>
            <w:rStyle w:val="Hyperlink"/>
            <w:noProof/>
            <w:rtl/>
          </w:rPr>
          <w:fldChar w:fldCharType="begin"/>
        </w:r>
        <w:r w:rsidR="004A5E33">
          <w:rPr>
            <w:noProof/>
            <w:webHidden/>
            <w:rtl/>
          </w:rPr>
          <w:instrText xml:space="preserve"> </w:instrText>
        </w:r>
        <w:r w:rsidR="004A5E33">
          <w:rPr>
            <w:noProof/>
            <w:webHidden/>
          </w:rPr>
          <w:instrText>PAGEREF</w:instrText>
        </w:r>
        <w:r w:rsidR="004A5E33">
          <w:rPr>
            <w:noProof/>
            <w:webHidden/>
            <w:rtl/>
          </w:rPr>
          <w:instrText xml:space="preserve"> _</w:instrText>
        </w:r>
        <w:r w:rsidR="004A5E33">
          <w:rPr>
            <w:noProof/>
            <w:webHidden/>
          </w:rPr>
          <w:instrText>Toc149664519 \h</w:instrText>
        </w:r>
        <w:r w:rsidR="004A5E33">
          <w:rPr>
            <w:noProof/>
            <w:webHidden/>
            <w:rtl/>
          </w:rPr>
          <w:instrText xml:space="preserve"> </w:instrText>
        </w:r>
        <w:r w:rsidR="004A5E33">
          <w:rPr>
            <w:rStyle w:val="Hyperlink"/>
            <w:noProof/>
            <w:rtl/>
          </w:rPr>
        </w:r>
        <w:r w:rsidR="004A5E33">
          <w:rPr>
            <w:rStyle w:val="Hyperlink"/>
            <w:noProof/>
            <w:rtl/>
          </w:rPr>
          <w:fldChar w:fldCharType="separate"/>
        </w:r>
        <w:r w:rsidR="004A5E33">
          <w:rPr>
            <w:noProof/>
            <w:webHidden/>
            <w:rtl/>
          </w:rPr>
          <w:t>8</w:t>
        </w:r>
        <w:r w:rsidR="004A5E33">
          <w:rPr>
            <w:rStyle w:val="Hyperlink"/>
            <w:noProof/>
            <w:rtl/>
          </w:rPr>
          <w:fldChar w:fldCharType="end"/>
        </w:r>
      </w:hyperlink>
    </w:p>
    <w:p w14:paraId="3144A4E6" w14:textId="77777777" w:rsidR="00F56390" w:rsidRDefault="004A5E33" w:rsidP="004A5E33">
      <w:pPr>
        <w:rPr>
          <w:snapToGrid w:val="0"/>
          <w:rtl/>
        </w:rPr>
      </w:pPr>
      <w:r>
        <w:rPr>
          <w:rtl/>
        </w:rPr>
        <w:fldChar w:fldCharType="end"/>
      </w:r>
      <w:r w:rsidR="00F56390">
        <w:rPr>
          <w:rtl/>
        </w:rPr>
        <w:br w:type="page"/>
      </w:r>
    </w:p>
    <w:p w14:paraId="3176EBD7" w14:textId="77777777" w:rsidR="00DD6C76" w:rsidRDefault="00DD6C76" w:rsidP="0069574E">
      <w:pPr>
        <w:pStyle w:val="1"/>
        <w:keepNext w:val="0"/>
        <w:keepLines w:val="0"/>
      </w:pPr>
      <w:bookmarkStart w:id="2" w:name="_Toc149638410"/>
      <w:bookmarkStart w:id="3" w:name="_Toc149638425"/>
      <w:bookmarkStart w:id="4" w:name="_Toc149638469"/>
      <w:bookmarkStart w:id="5" w:name="_Toc149664510"/>
      <w:r>
        <w:rPr>
          <w:rtl/>
        </w:rPr>
        <w:lastRenderedPageBreak/>
        <w:t>תזכיר חוק</w:t>
      </w:r>
      <w:bookmarkEnd w:id="0"/>
      <w:bookmarkEnd w:id="2"/>
      <w:bookmarkEnd w:id="3"/>
      <w:bookmarkEnd w:id="4"/>
      <w:bookmarkEnd w:id="5"/>
    </w:p>
    <w:p w14:paraId="3A425A3E" w14:textId="77777777" w:rsidR="00DD6C76" w:rsidRDefault="00DD6C76" w:rsidP="0069574E">
      <w:pPr>
        <w:rPr>
          <w:rtl/>
        </w:rPr>
      </w:pPr>
    </w:p>
    <w:p w14:paraId="1E8CCCC6" w14:textId="77777777" w:rsidR="00DD6C76" w:rsidRDefault="00DD6C76" w:rsidP="0069574E">
      <w:pPr>
        <w:pStyle w:val="4"/>
        <w:rPr>
          <w:rtl/>
        </w:rPr>
      </w:pPr>
      <w:bookmarkStart w:id="6" w:name="_Toc149638426"/>
      <w:bookmarkStart w:id="7" w:name="_Toc149638470"/>
      <w:bookmarkStart w:id="8" w:name="_Toc149664511"/>
      <w:r>
        <w:rPr>
          <w:rFonts w:hint="cs"/>
          <w:rtl/>
        </w:rPr>
        <w:t>שם החוק המוצע</w:t>
      </w:r>
      <w:bookmarkEnd w:id="6"/>
      <w:bookmarkEnd w:id="7"/>
      <w:bookmarkEnd w:id="8"/>
    </w:p>
    <w:p w14:paraId="1A989003" w14:textId="77777777" w:rsidR="00DD6C76" w:rsidRPr="00A842BB" w:rsidRDefault="00DD6C76" w:rsidP="0069574E">
      <w:pPr>
        <w:rPr>
          <w:sz w:val="26"/>
          <w:szCs w:val="26"/>
        </w:rPr>
      </w:pPr>
      <w:r w:rsidRPr="00A842BB">
        <w:rPr>
          <w:rFonts w:hint="cs"/>
          <w:sz w:val="26"/>
          <w:szCs w:val="26"/>
          <w:rtl/>
        </w:rPr>
        <w:t>חוק ה</w:t>
      </w:r>
      <w:r w:rsidR="008B467B" w:rsidRPr="00A842BB">
        <w:rPr>
          <w:rFonts w:hint="cs"/>
          <w:sz w:val="26"/>
          <w:szCs w:val="26"/>
          <w:rtl/>
        </w:rPr>
        <w:t>ארכת מועדים ודחיית תקופות בענייני הליכי מ</w:t>
      </w:r>
      <w:r w:rsidR="008F6BE0" w:rsidRPr="00A842BB">
        <w:rPr>
          <w:rFonts w:hint="cs"/>
          <w:sz w:val="26"/>
          <w:szCs w:val="26"/>
          <w:rtl/>
        </w:rPr>
        <w:t>ס (הוראת שעה- חרבות ברזל)</w:t>
      </w:r>
      <w:r w:rsidR="00704F3A">
        <w:rPr>
          <w:rFonts w:hint="cs"/>
          <w:sz w:val="26"/>
          <w:szCs w:val="26"/>
          <w:rtl/>
        </w:rPr>
        <w:t>,</w:t>
      </w:r>
      <w:r w:rsidR="008F6BE0" w:rsidRPr="00A842BB">
        <w:rPr>
          <w:rFonts w:hint="cs"/>
          <w:sz w:val="26"/>
          <w:szCs w:val="26"/>
          <w:rtl/>
        </w:rPr>
        <w:t xml:space="preserve"> התשפ"ד- 2023</w:t>
      </w:r>
    </w:p>
    <w:p w14:paraId="69D992E3" w14:textId="77777777" w:rsidR="00DD6C76" w:rsidRDefault="00DD6C76" w:rsidP="0069574E">
      <w:pPr>
        <w:rPr>
          <w:rtl/>
        </w:rPr>
      </w:pPr>
    </w:p>
    <w:p w14:paraId="5AE4F976" w14:textId="77777777" w:rsidR="00DD6C76" w:rsidRDefault="00DD6C76" w:rsidP="0069574E">
      <w:pPr>
        <w:rPr>
          <w:rtl/>
        </w:rPr>
      </w:pPr>
    </w:p>
    <w:p w14:paraId="1D430C65" w14:textId="77777777" w:rsidR="00DD6C76" w:rsidRDefault="00DD6C76" w:rsidP="0069574E">
      <w:pPr>
        <w:pStyle w:val="4"/>
        <w:rPr>
          <w:rtl/>
        </w:rPr>
      </w:pPr>
      <w:bookmarkStart w:id="9" w:name="_Toc149638427"/>
      <w:bookmarkStart w:id="10" w:name="_Toc149638471"/>
      <w:bookmarkStart w:id="11" w:name="_Toc149664512"/>
      <w:r>
        <w:rPr>
          <w:rFonts w:hint="cs"/>
          <w:rtl/>
        </w:rPr>
        <w:t>מטרת החוק המוצע, הצורך בו, עיקרי הוראותיו והשפעתו על הדין הקיים</w:t>
      </w:r>
      <w:bookmarkEnd w:id="9"/>
      <w:bookmarkEnd w:id="10"/>
      <w:bookmarkEnd w:id="11"/>
    </w:p>
    <w:p w14:paraId="303F4114" w14:textId="77777777" w:rsidR="00E20FB5" w:rsidRPr="00F87C7A" w:rsidRDefault="00E20FB5" w:rsidP="00E20FB5">
      <w:pPr>
        <w:pStyle w:val="Hesber1st"/>
        <w:tabs>
          <w:tab w:val="clear" w:pos="680"/>
        </w:tabs>
        <w:ind w:left="282"/>
        <w:rPr>
          <w:rtl/>
        </w:rPr>
      </w:pPr>
      <w:r w:rsidRPr="00F87C7A">
        <w:rPr>
          <w:rtl/>
        </w:rPr>
        <w:t>ביום</w:t>
      </w:r>
      <w:r w:rsidRPr="00F87C7A">
        <w:rPr>
          <w:rFonts w:hint="cs"/>
          <w:rtl/>
        </w:rPr>
        <w:t xml:space="preserve"> כ"ב בתשרי התשפ"ד</w:t>
      </w:r>
      <w:r w:rsidRPr="00F87C7A">
        <w:rPr>
          <w:rtl/>
        </w:rPr>
        <w:t xml:space="preserve"> </w:t>
      </w:r>
      <w:r w:rsidRPr="00F87C7A">
        <w:rPr>
          <w:rFonts w:hint="cs"/>
          <w:rtl/>
        </w:rPr>
        <w:t>(</w:t>
      </w:r>
      <w:r w:rsidRPr="00F87C7A">
        <w:rPr>
          <w:rtl/>
        </w:rPr>
        <w:t>7 באוקטובר 2023</w:t>
      </w:r>
      <w:r w:rsidRPr="00F87C7A">
        <w:rPr>
          <w:rFonts w:hint="cs"/>
          <w:rtl/>
        </w:rPr>
        <w:t>)</w:t>
      </w:r>
      <w:r w:rsidRPr="00F87C7A">
        <w:rPr>
          <w:rtl/>
        </w:rPr>
        <w:t xml:space="preserve"> החל</w:t>
      </w:r>
      <w:r w:rsidRPr="00F87C7A">
        <w:rPr>
          <w:rFonts w:hint="cs"/>
          <w:rtl/>
        </w:rPr>
        <w:t>ה מתקפת טרור רצחנית מרצועת עזה שבמסגרתה</w:t>
      </w:r>
      <w:r w:rsidR="001538BA">
        <w:rPr>
          <w:rFonts w:hint="cs"/>
          <w:rtl/>
        </w:rPr>
        <w:t xml:space="preserve"> נכנסו</w:t>
      </w:r>
      <w:r w:rsidRPr="00F87C7A">
        <w:rPr>
          <w:rFonts w:hint="cs"/>
          <w:rtl/>
        </w:rPr>
        <w:t xml:space="preserve"> </w:t>
      </w:r>
      <w:r w:rsidR="001538BA">
        <w:rPr>
          <w:rFonts w:hint="cs"/>
          <w:rtl/>
        </w:rPr>
        <w:t xml:space="preserve">מעל 1,000 </w:t>
      </w:r>
      <w:r w:rsidRPr="00F87C7A">
        <w:rPr>
          <w:rFonts w:hint="cs"/>
          <w:rtl/>
        </w:rPr>
        <w:t>מחבלים ליישובים בדרום הארץ מהיבשה, מהאוויר ומהים וכן התבצע ירי מסיבי של אלפי רקטות לעבר שטח מדינת ישראל.</w:t>
      </w:r>
    </w:p>
    <w:p w14:paraId="05B07390" w14:textId="77777777" w:rsidR="00E20FB5" w:rsidRDefault="001538BA" w:rsidP="001538BA">
      <w:pPr>
        <w:pStyle w:val="Hesber"/>
        <w:ind w:left="282" w:firstLine="0"/>
        <w:rPr>
          <w:rtl/>
        </w:rPr>
      </w:pPr>
      <w:r>
        <w:rPr>
          <w:rFonts w:hint="cs"/>
          <w:rtl/>
        </w:rPr>
        <w:t>בעקבות זאת</w:t>
      </w:r>
      <w:r w:rsidR="00677724" w:rsidRPr="00C80EDA">
        <w:rPr>
          <w:rFonts w:hint="cs"/>
          <w:rtl/>
        </w:rPr>
        <w:t xml:space="preserve">, </w:t>
      </w:r>
      <w:r w:rsidR="00677724">
        <w:rPr>
          <w:rFonts w:hint="cs"/>
          <w:rtl/>
        </w:rPr>
        <w:t>החליטה ועדת השרים לענייני ביטחון לאומי (</w:t>
      </w:r>
      <w:r w:rsidR="00677724" w:rsidRPr="00C80EDA">
        <w:rPr>
          <w:rFonts w:hint="cs"/>
          <w:rtl/>
        </w:rPr>
        <w:t>הקבי</w:t>
      </w:r>
      <w:r w:rsidR="00677724">
        <w:rPr>
          <w:rFonts w:hint="cs"/>
          <w:rtl/>
        </w:rPr>
        <w:t xml:space="preserve">נט המדיני-ביטחוני) </w:t>
      </w:r>
      <w:r w:rsidR="00677724" w:rsidRPr="00C80EDA">
        <w:rPr>
          <w:rFonts w:hint="cs"/>
          <w:rtl/>
        </w:rPr>
        <w:t>על נקיטת פעולות צבאיות משמעותיות, בהתאם לסעיף 40 לחוק-יסוד: הממשלה, והוכרז בצה"ל על מבצע "חרבות ברזל"</w:t>
      </w:r>
      <w:r w:rsidR="00677724">
        <w:rPr>
          <w:rFonts w:hint="cs"/>
          <w:rtl/>
        </w:rPr>
        <w:t xml:space="preserve">. כמו כן, הכריז שר הביטחון על </w:t>
      </w:r>
      <w:r w:rsidR="00E20FB5">
        <w:rPr>
          <w:rFonts w:hint="cs"/>
          <w:rtl/>
        </w:rPr>
        <w:t xml:space="preserve">מצב מיוחד בעורף </w:t>
      </w:r>
      <w:r w:rsidR="00E20FB5" w:rsidRPr="00F87C7A">
        <w:rPr>
          <w:rFonts w:hint="cs"/>
          <w:rtl/>
        </w:rPr>
        <w:t>בהתאם לסמכות</w:t>
      </w:r>
      <w:r>
        <w:rPr>
          <w:rFonts w:hint="cs"/>
          <w:rtl/>
        </w:rPr>
        <w:t xml:space="preserve"> שר הביטחון</w:t>
      </w:r>
      <w:r w:rsidR="00E20FB5" w:rsidRPr="00F87C7A">
        <w:rPr>
          <w:rFonts w:hint="cs"/>
          <w:rtl/>
        </w:rPr>
        <w:t xml:space="preserve"> לפי סעיף 9ג(ב) לחוק ההתגוננות האזרחית, התשי"א-1951</w:t>
      </w:r>
      <w:r w:rsidR="00E20FB5">
        <w:rPr>
          <w:rFonts w:hint="cs"/>
          <w:rtl/>
        </w:rPr>
        <w:t xml:space="preserve">, הכרזה שהורחבה לשטח המדינה כולה. </w:t>
      </w:r>
      <w:r w:rsidR="00E20FB5" w:rsidRPr="00F87C7A">
        <w:rPr>
          <w:rFonts w:hint="eastAsia"/>
          <w:rtl/>
        </w:rPr>
        <w:t>הכרזת</w:t>
      </w:r>
      <w:r w:rsidR="00E20FB5" w:rsidRPr="00F87C7A">
        <w:rPr>
          <w:rtl/>
        </w:rPr>
        <w:t xml:space="preserve"> שר הביטחון אושרה על ידי ועדת החוץ והביטחון של הכנסת.</w:t>
      </w:r>
      <w:r w:rsidR="00677724">
        <w:rPr>
          <w:rFonts w:hint="cs"/>
          <w:rtl/>
        </w:rPr>
        <w:t xml:space="preserve"> </w:t>
      </w:r>
      <w:r w:rsidR="00677724" w:rsidRPr="00C80EDA">
        <w:rPr>
          <w:rFonts w:hint="cs"/>
          <w:rtl/>
        </w:rPr>
        <w:t>ב</w:t>
      </w:r>
      <w:r w:rsidR="00677724">
        <w:rPr>
          <w:rFonts w:hint="cs"/>
          <w:rtl/>
        </w:rPr>
        <w:t xml:space="preserve">מסגרת האירועים האמורים, </w:t>
      </w:r>
      <w:r w:rsidR="00677724" w:rsidRPr="00C80EDA">
        <w:rPr>
          <w:rFonts w:hint="cs"/>
          <w:rtl/>
        </w:rPr>
        <w:t>צ</w:t>
      </w:r>
      <w:r w:rsidR="00677724">
        <w:rPr>
          <w:rFonts w:hint="cs"/>
          <w:rtl/>
        </w:rPr>
        <w:t>ה"</w:t>
      </w:r>
      <w:r w:rsidR="00677724" w:rsidRPr="00C80EDA">
        <w:rPr>
          <w:rFonts w:hint="cs"/>
          <w:rtl/>
        </w:rPr>
        <w:t xml:space="preserve">ל </w:t>
      </w:r>
      <w:r w:rsidR="00677724">
        <w:rPr>
          <w:rFonts w:hint="cs"/>
          <w:rtl/>
        </w:rPr>
        <w:t xml:space="preserve">ערך </w:t>
      </w:r>
      <w:r w:rsidR="00677724" w:rsidRPr="00C80EDA">
        <w:rPr>
          <w:rFonts w:hint="cs"/>
          <w:rtl/>
        </w:rPr>
        <w:t>גיוס מילואים רחב,  לכל המערכים בצה"ל ובמערכת הביטחון. מרחב עוטף עזה ואזורים נוספים במדינת ישראל הוכרזו כשטח צבאי סגור שהכניסה אליהם אסורה, וביישובים רבים בישראל התושבים התבקשו להתפנות מבתיהם</w:t>
      </w:r>
      <w:r w:rsidR="00E20FB5" w:rsidRPr="00B619F6">
        <w:rPr>
          <w:rFonts w:hint="eastAsia"/>
          <w:rtl/>
        </w:rPr>
        <w:t xml:space="preserve"> </w:t>
      </w:r>
      <w:r w:rsidR="00E20FB5" w:rsidRPr="00F87C7A">
        <w:rPr>
          <w:rFonts w:hint="eastAsia"/>
          <w:rtl/>
        </w:rPr>
        <w:t>נוכח</w:t>
      </w:r>
      <w:r w:rsidR="00E20FB5" w:rsidRPr="00F87C7A">
        <w:rPr>
          <w:rtl/>
        </w:rPr>
        <w:t xml:space="preserve"> האירועים</w:t>
      </w:r>
      <w:r w:rsidR="00677724">
        <w:rPr>
          <w:rFonts w:hint="cs"/>
          <w:rtl/>
        </w:rPr>
        <w:t xml:space="preserve">. </w:t>
      </w:r>
      <w:r w:rsidR="00E20FB5" w:rsidRPr="00F87C7A">
        <w:rPr>
          <w:rFonts w:hint="cs"/>
          <w:rtl/>
        </w:rPr>
        <w:t xml:space="preserve">בשל המצב החריג, ומכיוון שניהול </w:t>
      </w:r>
      <w:r w:rsidR="00E20FB5">
        <w:rPr>
          <w:rFonts w:hint="cs"/>
          <w:rtl/>
        </w:rPr>
        <w:t>ה</w:t>
      </w:r>
      <w:r w:rsidR="00E20FB5" w:rsidRPr="00F87C7A">
        <w:rPr>
          <w:rFonts w:hint="cs"/>
          <w:rtl/>
        </w:rPr>
        <w:t xml:space="preserve">מערכה </w:t>
      </w:r>
      <w:r w:rsidR="00E20FB5">
        <w:rPr>
          <w:rFonts w:hint="cs"/>
          <w:rtl/>
        </w:rPr>
        <w:t>מקשה על קיום שגרה רגילה</w:t>
      </w:r>
      <w:r w:rsidR="001256A1">
        <w:rPr>
          <w:rFonts w:hint="cs"/>
          <w:rtl/>
        </w:rPr>
        <w:t xml:space="preserve"> ועל עמידה בזמנים הקבועים בחיקוק</w:t>
      </w:r>
      <w:r w:rsidR="00E20FB5">
        <w:rPr>
          <w:rFonts w:hint="cs"/>
          <w:rtl/>
        </w:rPr>
        <w:t xml:space="preserve">, הן במגזר הציבורי והן במגזר הפרטי, </w:t>
      </w:r>
      <w:r w:rsidR="00E20FB5" w:rsidRPr="00F87C7A">
        <w:rPr>
          <w:rFonts w:hint="cs"/>
          <w:rtl/>
        </w:rPr>
        <w:t>יש צורך בקידום תיקון חקיקה זמני</w:t>
      </w:r>
      <w:r w:rsidR="00E20FB5">
        <w:rPr>
          <w:rFonts w:hint="cs"/>
          <w:rtl/>
        </w:rPr>
        <w:t xml:space="preserve"> </w:t>
      </w:r>
      <w:r w:rsidR="00E20FB5" w:rsidRPr="00F87C7A">
        <w:rPr>
          <w:rFonts w:hint="cs"/>
          <w:rtl/>
        </w:rPr>
        <w:t>להארכת מועדים</w:t>
      </w:r>
      <w:r w:rsidR="001256A1">
        <w:rPr>
          <w:rFonts w:hint="cs"/>
          <w:rtl/>
        </w:rPr>
        <w:t xml:space="preserve"> לעת הזו</w:t>
      </w:r>
      <w:r w:rsidR="00E20FB5" w:rsidRPr="00F87C7A">
        <w:rPr>
          <w:rFonts w:hint="cs"/>
          <w:rtl/>
        </w:rPr>
        <w:t>.</w:t>
      </w:r>
      <w:r w:rsidR="00E20FB5">
        <w:rPr>
          <w:rFonts w:hint="cs"/>
          <w:rtl/>
        </w:rPr>
        <w:t xml:space="preserve"> </w:t>
      </w:r>
    </w:p>
    <w:p w14:paraId="5D4DFFE0" w14:textId="77777777" w:rsidR="00E20FB5" w:rsidRPr="008D1E8B" w:rsidRDefault="00E20FB5" w:rsidP="00E20FB5">
      <w:pPr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על רקע זאת,</w:t>
      </w:r>
      <w:r w:rsidR="001538BA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 xml:space="preserve"> מוצע להאריך</w:t>
      </w:r>
      <w:r w:rsidRPr="008D1E8B">
        <w:rPr>
          <w:rFonts w:hint="cs"/>
          <w:sz w:val="26"/>
          <w:szCs w:val="26"/>
          <w:rtl/>
        </w:rPr>
        <w:t xml:space="preserve"> מועדים ו</w:t>
      </w:r>
      <w:r>
        <w:rPr>
          <w:rFonts w:hint="cs"/>
          <w:sz w:val="26"/>
          <w:szCs w:val="26"/>
          <w:rtl/>
        </w:rPr>
        <w:t xml:space="preserve">לדחות </w:t>
      </w:r>
      <w:r w:rsidRPr="008D1E8B">
        <w:rPr>
          <w:rFonts w:hint="cs"/>
          <w:sz w:val="26"/>
          <w:szCs w:val="26"/>
          <w:rtl/>
        </w:rPr>
        <w:t>תקופות</w:t>
      </w:r>
      <w:r>
        <w:rPr>
          <w:rFonts w:hint="cs"/>
          <w:sz w:val="26"/>
          <w:szCs w:val="26"/>
          <w:rtl/>
        </w:rPr>
        <w:t xml:space="preserve"> לביצוע פעולות</w:t>
      </w:r>
      <w:r w:rsidRPr="008D1E8B">
        <w:rPr>
          <w:rFonts w:hint="cs"/>
          <w:sz w:val="26"/>
          <w:szCs w:val="26"/>
          <w:rtl/>
        </w:rPr>
        <w:t xml:space="preserve"> הקבועים בחקיקת המס</w:t>
      </w:r>
      <w:r w:rsidR="00F321E4">
        <w:rPr>
          <w:rFonts w:hint="cs"/>
          <w:sz w:val="26"/>
          <w:szCs w:val="26"/>
          <w:rtl/>
        </w:rPr>
        <w:t>.</w:t>
      </w:r>
      <w:r w:rsidRPr="008D1E8B">
        <w:rPr>
          <w:rFonts w:hint="cs"/>
          <w:sz w:val="26"/>
          <w:szCs w:val="26"/>
          <w:rtl/>
        </w:rPr>
        <w:t xml:space="preserve"> </w:t>
      </w:r>
      <w:r w:rsidRPr="008D1E8B">
        <w:rPr>
          <w:sz w:val="26"/>
          <w:szCs w:val="26"/>
          <w:rtl/>
        </w:rPr>
        <w:t xml:space="preserve">מטרת </w:t>
      </w:r>
      <w:r w:rsidRPr="008D1E8B">
        <w:rPr>
          <w:rFonts w:hint="cs"/>
          <w:sz w:val="26"/>
          <w:szCs w:val="26"/>
          <w:rtl/>
        </w:rPr>
        <w:t>החוק המוצע</w:t>
      </w:r>
      <w:r w:rsidRPr="008D1E8B">
        <w:rPr>
          <w:sz w:val="26"/>
          <w:szCs w:val="26"/>
          <w:rtl/>
        </w:rPr>
        <w:t xml:space="preserve"> היא הארכת</w:t>
      </w:r>
      <w:r w:rsidRPr="008D1E8B">
        <w:rPr>
          <w:rFonts w:hint="cs"/>
          <w:sz w:val="26"/>
          <w:szCs w:val="26"/>
          <w:rtl/>
        </w:rPr>
        <w:t xml:space="preserve"> תוקפן</w:t>
      </w:r>
      <w:r w:rsidRPr="008D1E8B">
        <w:rPr>
          <w:sz w:val="26"/>
          <w:szCs w:val="26"/>
          <w:rtl/>
        </w:rPr>
        <w:t xml:space="preserve"> של</w:t>
      </w:r>
      <w:r w:rsidRPr="008D1E8B">
        <w:rPr>
          <w:rFonts w:hint="cs"/>
          <w:sz w:val="26"/>
          <w:szCs w:val="26"/>
          <w:rtl/>
        </w:rPr>
        <w:t xml:space="preserve"> </w:t>
      </w:r>
      <w:r w:rsidRPr="008D1E8B">
        <w:rPr>
          <w:sz w:val="26"/>
          <w:szCs w:val="26"/>
          <w:rtl/>
        </w:rPr>
        <w:t xml:space="preserve">תקופות קצובות בזמן שנקבעו בדיני המס להליכים שונים, אשר מנהלים </w:t>
      </w:r>
      <w:r w:rsidRPr="008D1E8B">
        <w:rPr>
          <w:rFonts w:hint="cs"/>
          <w:sz w:val="26"/>
          <w:szCs w:val="26"/>
          <w:rtl/>
        </w:rPr>
        <w:t>ה</w:t>
      </w:r>
      <w:r w:rsidR="00A00749">
        <w:rPr>
          <w:rFonts w:hint="cs"/>
          <w:sz w:val="26"/>
          <w:szCs w:val="26"/>
          <w:rtl/>
        </w:rPr>
        <w:t>אזרח</w:t>
      </w:r>
      <w:r w:rsidRPr="008D1E8B">
        <w:rPr>
          <w:sz w:val="26"/>
          <w:szCs w:val="26"/>
          <w:rtl/>
        </w:rPr>
        <w:t xml:space="preserve"> ורשות המסים זה מול זו</w:t>
      </w:r>
      <w:r w:rsidRPr="008D1E8B">
        <w:rPr>
          <w:rFonts w:hint="cs"/>
          <w:sz w:val="26"/>
          <w:szCs w:val="26"/>
          <w:rtl/>
        </w:rPr>
        <w:t>, זאת משום</w:t>
      </w:r>
      <w:r w:rsidRPr="008D1E8B">
        <w:rPr>
          <w:sz w:val="26"/>
          <w:szCs w:val="26"/>
          <w:rtl/>
        </w:rPr>
        <w:t xml:space="preserve"> </w:t>
      </w:r>
      <w:r w:rsidRPr="008D1E8B">
        <w:rPr>
          <w:rFonts w:hint="cs"/>
          <w:sz w:val="26"/>
          <w:szCs w:val="26"/>
          <w:rtl/>
        </w:rPr>
        <w:t>ש</w:t>
      </w:r>
      <w:r w:rsidRPr="008D1E8B">
        <w:rPr>
          <w:sz w:val="26"/>
          <w:szCs w:val="26"/>
          <w:rtl/>
        </w:rPr>
        <w:t>יכולותיהם של הנישומים ושל הרשות לנהל את אותם הליכים בתקופ</w:t>
      </w:r>
      <w:r w:rsidR="00112356">
        <w:rPr>
          <w:rFonts w:hint="cs"/>
          <w:sz w:val="26"/>
          <w:szCs w:val="26"/>
          <w:rtl/>
        </w:rPr>
        <w:t>ה זו</w:t>
      </w:r>
      <w:r w:rsidRPr="008D1E8B">
        <w:rPr>
          <w:sz w:val="26"/>
          <w:szCs w:val="26"/>
          <w:rtl/>
        </w:rPr>
        <w:t xml:space="preserve"> מוגבלות מאד. בהתאם לכך, </w:t>
      </w:r>
      <w:r w:rsidRPr="008D1E8B">
        <w:rPr>
          <w:rFonts w:hint="cs"/>
          <w:sz w:val="26"/>
          <w:szCs w:val="26"/>
          <w:rtl/>
        </w:rPr>
        <w:t>מוצע</w:t>
      </w:r>
      <w:r w:rsidRPr="008D1E8B">
        <w:rPr>
          <w:sz w:val="26"/>
          <w:szCs w:val="26"/>
          <w:rtl/>
        </w:rPr>
        <w:t xml:space="preserve"> לקדם הסדרה </w:t>
      </w:r>
      <w:r w:rsidRPr="008D1E8B">
        <w:rPr>
          <w:rFonts w:hint="cs"/>
          <w:sz w:val="26"/>
          <w:szCs w:val="26"/>
          <w:rtl/>
        </w:rPr>
        <w:t>מיידית</w:t>
      </w:r>
      <w:r w:rsidRPr="008D1E8B">
        <w:rPr>
          <w:sz w:val="26"/>
          <w:szCs w:val="26"/>
          <w:rtl/>
        </w:rPr>
        <w:t xml:space="preserve"> לפיה</w:t>
      </w:r>
      <w:r w:rsidR="001538BA">
        <w:rPr>
          <w:rFonts w:hint="cs"/>
          <w:sz w:val="26"/>
          <w:szCs w:val="26"/>
          <w:rtl/>
        </w:rPr>
        <w:t xml:space="preserve"> אם מועד תחילת ביצוע הפעולה, כמפורט בהצעת החוק, חל לפני תום "התקופה הקובעת", ומועד סיום ביצוע הפעולה, חל</w:t>
      </w:r>
      <w:r w:rsidRPr="008D1E8B">
        <w:rPr>
          <w:rFonts w:hint="cs"/>
          <w:sz w:val="26"/>
          <w:szCs w:val="26"/>
          <w:rtl/>
        </w:rPr>
        <w:t xml:space="preserve"> </w:t>
      </w:r>
      <w:r w:rsidRPr="008D1E8B">
        <w:rPr>
          <w:sz w:val="26"/>
          <w:szCs w:val="26"/>
          <w:rtl/>
        </w:rPr>
        <w:t xml:space="preserve">במהלך </w:t>
      </w:r>
      <w:r w:rsidR="00112356">
        <w:rPr>
          <w:rFonts w:hint="cs"/>
          <w:sz w:val="26"/>
          <w:szCs w:val="26"/>
          <w:rtl/>
        </w:rPr>
        <w:t>ה</w:t>
      </w:r>
      <w:r w:rsidRPr="008D1E8B">
        <w:rPr>
          <w:sz w:val="26"/>
          <w:szCs w:val="26"/>
          <w:rtl/>
        </w:rPr>
        <w:t>תקופ</w:t>
      </w:r>
      <w:r w:rsidR="00112356">
        <w:rPr>
          <w:rFonts w:hint="cs"/>
          <w:sz w:val="26"/>
          <w:szCs w:val="26"/>
          <w:rtl/>
        </w:rPr>
        <w:t>ה</w:t>
      </w:r>
      <w:r w:rsidRPr="008D1E8B">
        <w:rPr>
          <w:sz w:val="26"/>
          <w:szCs w:val="26"/>
          <w:rtl/>
        </w:rPr>
        <w:t xml:space="preserve"> </w:t>
      </w:r>
      <w:r w:rsidR="00112356">
        <w:rPr>
          <w:rFonts w:hint="cs"/>
          <w:sz w:val="26"/>
          <w:szCs w:val="26"/>
          <w:rtl/>
        </w:rPr>
        <w:t xml:space="preserve">הקובעת </w:t>
      </w:r>
      <w:r w:rsidR="001538BA">
        <w:rPr>
          <w:rFonts w:hint="cs"/>
          <w:sz w:val="26"/>
          <w:szCs w:val="26"/>
          <w:rtl/>
        </w:rPr>
        <w:t xml:space="preserve">או בחודשיים שאחריה, תקופה זו </w:t>
      </w:r>
      <w:r w:rsidR="001538BA" w:rsidRPr="008D1E8B">
        <w:rPr>
          <w:sz w:val="26"/>
          <w:szCs w:val="26"/>
          <w:rtl/>
        </w:rPr>
        <w:t xml:space="preserve"> לא </w:t>
      </w:r>
      <w:r w:rsidR="001538BA">
        <w:rPr>
          <w:rFonts w:hint="cs"/>
          <w:sz w:val="26"/>
          <w:szCs w:val="26"/>
          <w:rtl/>
        </w:rPr>
        <w:t>תבוא במניין הימים  לביצוע הפעולה.</w:t>
      </w:r>
      <w:r w:rsidR="007119D4">
        <w:rPr>
          <w:rFonts w:hint="cs"/>
          <w:sz w:val="26"/>
          <w:szCs w:val="26"/>
          <w:rtl/>
        </w:rPr>
        <w:t xml:space="preserve"> זאת, כדי לתת שהות להתארגנות מסוימת לביצוע הפעולה גם לאחר תום </w:t>
      </w:r>
      <w:r w:rsidR="00112356">
        <w:rPr>
          <w:rFonts w:hint="cs"/>
          <w:sz w:val="26"/>
          <w:szCs w:val="26"/>
          <w:rtl/>
        </w:rPr>
        <w:t>תקופה זו.</w:t>
      </w:r>
    </w:p>
    <w:p w14:paraId="145E26CB" w14:textId="77777777" w:rsidR="006F6F3F" w:rsidRDefault="008D1E8B" w:rsidP="00861A4F">
      <w:pPr>
        <w:pStyle w:val="Hesber"/>
        <w:ind w:left="340" w:firstLine="0"/>
        <w:rPr>
          <w:rtl/>
        </w:rPr>
      </w:pPr>
      <w:r w:rsidRPr="00323B6A">
        <w:rPr>
          <w:rtl/>
        </w:rPr>
        <w:t xml:space="preserve">מוצע לקבוע כי </w:t>
      </w:r>
      <w:r>
        <w:rPr>
          <w:rFonts w:hint="cs"/>
          <w:rtl/>
        </w:rPr>
        <w:t>"התקופה הקובעת" שימיה לא יבואו במניין,</w:t>
      </w:r>
      <w:r w:rsidRPr="00323B6A">
        <w:rPr>
          <w:rtl/>
        </w:rPr>
        <w:t xml:space="preserve"> תחול מיום כ"</w:t>
      </w:r>
      <w:r>
        <w:rPr>
          <w:rFonts w:hint="cs"/>
          <w:rtl/>
        </w:rPr>
        <w:t>ב</w:t>
      </w:r>
      <w:r w:rsidRPr="00323B6A">
        <w:rPr>
          <w:rtl/>
        </w:rPr>
        <w:t xml:space="preserve"> ב</w:t>
      </w:r>
      <w:r>
        <w:rPr>
          <w:rFonts w:hint="cs"/>
          <w:rtl/>
        </w:rPr>
        <w:t>תשרי</w:t>
      </w:r>
      <w:r w:rsidRPr="00323B6A">
        <w:rPr>
          <w:rtl/>
        </w:rPr>
        <w:t xml:space="preserve"> התש</w:t>
      </w:r>
      <w:r>
        <w:rPr>
          <w:rFonts w:hint="cs"/>
          <w:rtl/>
        </w:rPr>
        <w:t>פ</w:t>
      </w:r>
      <w:r w:rsidRPr="00323B6A">
        <w:rPr>
          <w:rtl/>
        </w:rPr>
        <w:t>"</w:t>
      </w:r>
      <w:r>
        <w:rPr>
          <w:rFonts w:hint="cs"/>
          <w:rtl/>
        </w:rPr>
        <w:t>ד (7 באוקטובר 2023)</w:t>
      </w:r>
      <w:r w:rsidRPr="00323B6A">
        <w:rPr>
          <w:rtl/>
        </w:rPr>
        <w:t xml:space="preserve"> עד יום</w:t>
      </w:r>
      <w:r>
        <w:rPr>
          <w:rFonts w:hint="cs"/>
          <w:rtl/>
        </w:rPr>
        <w:t xml:space="preserve"> </w:t>
      </w:r>
      <w:r w:rsidR="005F245D">
        <w:rPr>
          <w:rFonts w:hint="cs"/>
          <w:rtl/>
        </w:rPr>
        <w:t>כ"ו</w:t>
      </w:r>
      <w:r>
        <w:rPr>
          <w:rFonts w:hint="cs"/>
          <w:rtl/>
        </w:rPr>
        <w:t xml:space="preserve"> בטבת התשפ"ד (</w:t>
      </w:r>
      <w:r w:rsidR="005F245D">
        <w:rPr>
          <w:rFonts w:hint="cs"/>
          <w:rtl/>
        </w:rPr>
        <w:t>7 בינואר 2024</w:t>
      </w:r>
      <w:r>
        <w:rPr>
          <w:rFonts w:hint="cs"/>
          <w:rtl/>
        </w:rPr>
        <w:t xml:space="preserve">). </w:t>
      </w:r>
      <w:r w:rsidRPr="00323B6A">
        <w:rPr>
          <w:rtl/>
        </w:rPr>
        <w:t xml:space="preserve">כך לדוגמא, אם מועד סיומה של תקופה צריך היה לחול 10 ימים לאחר תחילתה של תקופת החירום, מועד </w:t>
      </w:r>
      <w:r>
        <w:rPr>
          <w:rFonts w:hint="cs"/>
          <w:rtl/>
        </w:rPr>
        <w:t xml:space="preserve">תום התקופה החדש בהתאם להצעת החוק </w:t>
      </w:r>
      <w:r w:rsidRPr="00323B6A">
        <w:rPr>
          <w:rtl/>
        </w:rPr>
        <w:t xml:space="preserve">יחול 10 ימים </w:t>
      </w:r>
      <w:r w:rsidRPr="00323B6A">
        <w:rPr>
          <w:rFonts w:hint="cs"/>
          <w:rtl/>
        </w:rPr>
        <w:t>לאחר סיומה</w:t>
      </w:r>
      <w:r w:rsidRPr="00323B6A">
        <w:rPr>
          <w:rtl/>
        </w:rPr>
        <w:t xml:space="preserve"> </w:t>
      </w:r>
      <w:r w:rsidRPr="00323B6A">
        <w:rPr>
          <w:rFonts w:hint="cs"/>
          <w:rtl/>
        </w:rPr>
        <w:t>של</w:t>
      </w:r>
      <w:r w:rsidRPr="00323B6A">
        <w:rPr>
          <w:rtl/>
        </w:rPr>
        <w:t xml:space="preserve"> </w:t>
      </w:r>
      <w:r w:rsidRPr="00323B6A">
        <w:rPr>
          <w:rFonts w:hint="cs"/>
          <w:rtl/>
        </w:rPr>
        <w:t>תקופת</w:t>
      </w:r>
      <w:r w:rsidRPr="00323B6A">
        <w:rPr>
          <w:rtl/>
        </w:rPr>
        <w:t xml:space="preserve"> </w:t>
      </w:r>
      <w:r w:rsidRPr="00323B6A">
        <w:rPr>
          <w:rFonts w:hint="cs"/>
          <w:rtl/>
        </w:rPr>
        <w:t>החירום</w:t>
      </w:r>
      <w:r w:rsidRPr="00323B6A">
        <w:rPr>
          <w:rtl/>
        </w:rPr>
        <w:t>.</w:t>
      </w:r>
      <w:r w:rsidR="006F6F3F">
        <w:rPr>
          <w:rFonts w:hint="cs"/>
          <w:rtl/>
        </w:rPr>
        <w:t xml:space="preserve"> וכן, תקופה שהמועד לסיומה חל בתוך החודשיים שאחרי סיום התקופה הקובעת, מועד תום התקופה החדש יהיה המועד המקורי בתוספת מניין ימי התקופה הקובעת (</w:t>
      </w:r>
      <w:r w:rsidR="00742D62">
        <w:rPr>
          <w:rFonts w:hint="cs"/>
          <w:rtl/>
        </w:rPr>
        <w:t>שלושה חודשים</w:t>
      </w:r>
      <w:r w:rsidR="006F6F3F">
        <w:rPr>
          <w:rFonts w:hint="cs"/>
          <w:rtl/>
        </w:rPr>
        <w:t>).</w:t>
      </w:r>
    </w:p>
    <w:p w14:paraId="7B02FB3B" w14:textId="77777777" w:rsidR="002F3557" w:rsidRDefault="002F3557" w:rsidP="00D749FB">
      <w:pPr>
        <w:pStyle w:val="Hesber"/>
        <w:ind w:left="340" w:firstLine="0"/>
        <w:rPr>
          <w:rtl/>
        </w:rPr>
      </w:pPr>
      <w:r>
        <w:rPr>
          <w:rFonts w:hint="cs"/>
          <w:rtl/>
        </w:rPr>
        <w:t xml:space="preserve">הוראה נפרדת בסעיף 3 להצעה עוסקת בהוספת ימים למניין תקופות בעניין מכירת דירת מגורים מזכה </w:t>
      </w:r>
      <w:r>
        <w:rPr>
          <w:rFonts w:hint="cs"/>
          <w:rtl/>
        </w:rPr>
        <w:lastRenderedPageBreak/>
        <w:t>לפי חוק מיסוי מקרקעין.</w:t>
      </w:r>
    </w:p>
    <w:p w14:paraId="3C6CFD32" w14:textId="77777777" w:rsidR="008D1E8B" w:rsidRDefault="008D1E8B" w:rsidP="000D1742">
      <w:pPr>
        <w:pStyle w:val="Hesber"/>
        <w:ind w:left="340" w:firstLine="0"/>
        <w:rPr>
          <w:rtl/>
        </w:rPr>
      </w:pPr>
      <w:r>
        <w:rPr>
          <w:rFonts w:hint="cs"/>
          <w:rtl/>
        </w:rPr>
        <w:t xml:space="preserve">יצוין כי במקביל </w:t>
      </w:r>
      <w:r w:rsidR="00F67FAC">
        <w:rPr>
          <w:rFonts w:hint="cs"/>
          <w:rtl/>
        </w:rPr>
        <w:t>פורסם</w:t>
      </w:r>
      <w:r>
        <w:rPr>
          <w:rFonts w:hint="cs"/>
          <w:rtl/>
        </w:rPr>
        <w:t xml:space="preserve"> תזכיר חקיקה העוסק בהארכת מועדים</w:t>
      </w:r>
      <w:r w:rsidR="00F67FAC">
        <w:rPr>
          <w:rFonts w:hint="cs"/>
          <w:rtl/>
        </w:rPr>
        <w:t xml:space="preserve"> כללית</w:t>
      </w:r>
      <w:r w:rsidR="00F321E4">
        <w:rPr>
          <w:rFonts w:hint="cs"/>
          <w:rtl/>
        </w:rPr>
        <w:t xml:space="preserve"> וכן בדחיית מועדים בהליכים בפני בתי דין מנהליים</w:t>
      </w:r>
      <w:r>
        <w:rPr>
          <w:rFonts w:hint="cs"/>
          <w:rtl/>
        </w:rPr>
        <w:t xml:space="preserve">- </w:t>
      </w:r>
      <w:r w:rsidR="00F67FAC" w:rsidRPr="000236A0">
        <w:rPr>
          <w:rtl/>
        </w:rPr>
        <w:t>תזכיר חוק הארכת תקופות ודחיית מועדים (הוראת שעה – חרבות ברזל)(החלטות מינהליות ופעולות מול רשות ציבורית, אומנה לילדים, תאגידים וגופים ציבוריים, בתי דין מינהליים ותכנון ובנייה), התשפ"ד-</w:t>
      </w:r>
      <w:r w:rsidR="00F67FAC" w:rsidRPr="003F7D99">
        <w:rPr>
          <w:rFonts w:hint="cs"/>
          <w:rtl/>
        </w:rPr>
        <w:t>2023</w:t>
      </w:r>
      <w:r w:rsidR="00F321E4">
        <w:rPr>
          <w:rFonts w:hint="cs"/>
          <w:rtl/>
        </w:rPr>
        <w:t>.</w:t>
      </w:r>
      <w:r w:rsidR="00F67FAC">
        <w:rPr>
          <w:rFonts w:hint="cs"/>
          <w:rtl/>
        </w:rPr>
        <w:t xml:space="preserve"> </w:t>
      </w:r>
      <w:r>
        <w:rPr>
          <w:rFonts w:hint="cs"/>
          <w:rtl/>
        </w:rPr>
        <w:t>אולם ענייני הליכי המס יוסדרו כאמור בהצעת החוק להלן</w:t>
      </w:r>
      <w:r w:rsidR="00F727A3">
        <w:rPr>
          <w:rFonts w:hint="cs"/>
          <w:rtl/>
        </w:rPr>
        <w:t>, המבוססת ברובה על חקיקת דחיית המועדים בענייני מס שהיתה תקיפה בתקופת הקורונה (</w:t>
      </w:r>
      <w:r w:rsidR="00F727A3" w:rsidRPr="00F727A3">
        <w:rPr>
          <w:rtl/>
        </w:rPr>
        <w:t>חוק הארכת תקופות ודחיית מועדים בענייני הליכי מס ומענקי סיוע (נגיף הקורונה החדש – הוראת שעה – תיקוני חקיקה), תש"ף-2020</w:t>
      </w:r>
      <w:r w:rsidR="00F727A3">
        <w:rPr>
          <w:rFonts w:hint="cs"/>
          <w:rtl/>
        </w:rPr>
        <w:t>).</w:t>
      </w:r>
    </w:p>
    <w:p w14:paraId="3C3A3D42" w14:textId="77777777" w:rsidR="00F321E4" w:rsidRDefault="00F321E4" w:rsidP="000D1742">
      <w:pPr>
        <w:pStyle w:val="Hesber"/>
        <w:ind w:left="340" w:firstLine="0"/>
        <w:rPr>
          <w:rtl/>
        </w:rPr>
      </w:pPr>
      <w:r>
        <w:rPr>
          <w:rFonts w:hint="cs"/>
          <w:rtl/>
        </w:rPr>
        <w:t xml:space="preserve">עוד יצוין כי נושא דחיית </w:t>
      </w:r>
      <w:r w:rsidR="001538BA">
        <w:rPr>
          <w:rFonts w:hint="cs"/>
          <w:rtl/>
        </w:rPr>
        <w:t xml:space="preserve">הליכי </w:t>
      </w:r>
      <w:r>
        <w:rPr>
          <w:rFonts w:hint="cs"/>
          <w:rtl/>
        </w:rPr>
        <w:t>עיצומים כספיים, גם אלו המוטלים מכוח דיני המס, מוסדר בחוק הארכת תקופות ודחיית מועדים (הוראת שעה- חרבות ברזל) (אישורים רגולטוריים, עיצומים כספיים ובדיקת מתקני גז), התשפ"ד-2023.</w:t>
      </w:r>
    </w:p>
    <w:p w14:paraId="214CDB81" w14:textId="77777777" w:rsidR="00F321E4" w:rsidRDefault="0061741B" w:rsidP="000D1742">
      <w:pPr>
        <w:pStyle w:val="Hesber"/>
        <w:ind w:left="340" w:firstLine="0"/>
        <w:rPr>
          <w:rtl/>
        </w:rPr>
      </w:pPr>
      <w:r>
        <w:rPr>
          <w:rFonts w:hint="cs"/>
          <w:rtl/>
        </w:rPr>
        <w:t xml:space="preserve">כמו כן, </w:t>
      </w:r>
      <w:r w:rsidR="006663E5">
        <w:rPr>
          <w:rFonts w:hint="cs"/>
          <w:rtl/>
        </w:rPr>
        <w:t xml:space="preserve"> דחיית</w:t>
      </w:r>
      <w:r w:rsidR="00F321E4">
        <w:rPr>
          <w:rFonts w:hint="cs"/>
          <w:rtl/>
        </w:rPr>
        <w:t xml:space="preserve"> מועדים בהליכים בפני בתי משפט,</w:t>
      </w:r>
      <w:r w:rsidR="006663E5">
        <w:rPr>
          <w:rFonts w:hint="cs"/>
          <w:rtl/>
        </w:rPr>
        <w:t xml:space="preserve"> כולל מועדי הגשת ערעורים,</w:t>
      </w:r>
      <w:r w:rsidR="00F321E4">
        <w:rPr>
          <w:rFonts w:hint="cs"/>
          <w:rtl/>
        </w:rPr>
        <w:t xml:space="preserve"> </w:t>
      </w:r>
      <w:r w:rsidR="006663E5">
        <w:rPr>
          <w:rFonts w:hint="cs"/>
          <w:rtl/>
        </w:rPr>
        <w:t>מוסדרת בהכרזת שר המשפטים בדבר החלת תקנות בתי המשפט ולשכות ההוצאה לפועל(סדרי דין במצב חירום מיוחד), התשנ"א-1991.</w:t>
      </w:r>
    </w:p>
    <w:p w14:paraId="1C8DA521" w14:textId="77777777" w:rsidR="00C25B39" w:rsidRPr="00F47FFC" w:rsidRDefault="001538BA" w:rsidP="0069574E">
      <w:pPr>
        <w:rPr>
          <w:sz w:val="26"/>
          <w:szCs w:val="26"/>
          <w:rtl/>
        </w:rPr>
      </w:pPr>
      <w:r w:rsidRPr="00F47FFC">
        <w:rPr>
          <w:rFonts w:hint="cs"/>
          <w:sz w:val="26"/>
          <w:szCs w:val="26"/>
          <w:rtl/>
        </w:rPr>
        <w:t>דחיית תשלומים לרשות וכן הסדרה לעניין זה בין פרטים, ביחס למשרתי כוחות הביטחון, למפונים מבתיהם וכן לנפגעים במערכה, קבועה בחוק דחיית מועדים (הוראת שעה- חרבות ברזל) (חוזה, פסק דין או תשלום לרשות), התשפ"ד-2023.</w:t>
      </w:r>
    </w:p>
    <w:p w14:paraId="01049E7C" w14:textId="77777777" w:rsidR="00DD6C76" w:rsidRDefault="00DD6C76" w:rsidP="0069574E">
      <w:pPr>
        <w:rPr>
          <w:rtl/>
        </w:rPr>
      </w:pPr>
    </w:p>
    <w:p w14:paraId="2940B711" w14:textId="77777777" w:rsidR="00DD6C76" w:rsidRDefault="00DD6C76" w:rsidP="0069574E">
      <w:pPr>
        <w:rPr>
          <w:rtl/>
        </w:rPr>
      </w:pPr>
    </w:p>
    <w:p w14:paraId="32BBCD9C" w14:textId="77777777" w:rsidR="00DD6C76" w:rsidRDefault="00DD6C76" w:rsidP="0069574E">
      <w:pPr>
        <w:pStyle w:val="4"/>
        <w:rPr>
          <w:rtl/>
        </w:rPr>
      </w:pPr>
      <w:bookmarkStart w:id="12" w:name="_Toc149638428"/>
      <w:bookmarkStart w:id="13" w:name="_Toc149638472"/>
      <w:bookmarkStart w:id="14" w:name="_Toc149664513"/>
      <w:r>
        <w:rPr>
          <w:rFonts w:hint="cs"/>
          <w:rtl/>
        </w:rPr>
        <w:t>השפעת החוק המוצע על קבוצות אוכלוסייה מסוימות</w:t>
      </w:r>
      <w:bookmarkEnd w:id="12"/>
      <w:bookmarkEnd w:id="13"/>
      <w:bookmarkEnd w:id="14"/>
      <w:r>
        <w:rPr>
          <w:rFonts w:hint="cs"/>
          <w:rtl/>
        </w:rPr>
        <w:t xml:space="preserve"> </w:t>
      </w:r>
    </w:p>
    <w:p w14:paraId="69CBB51F" w14:textId="77777777" w:rsidR="00DD6C76" w:rsidRDefault="006637CC" w:rsidP="0069574E">
      <w:pPr>
        <w:rPr>
          <w:rtl/>
        </w:rPr>
      </w:pPr>
      <w:r>
        <w:rPr>
          <w:rFonts w:hint="cs"/>
          <w:rtl/>
        </w:rPr>
        <w:t>אין</w:t>
      </w:r>
    </w:p>
    <w:p w14:paraId="46F0477B" w14:textId="77777777" w:rsidR="006637CC" w:rsidRDefault="006637CC" w:rsidP="0069574E">
      <w:pPr>
        <w:rPr>
          <w:rtl/>
        </w:rPr>
      </w:pPr>
    </w:p>
    <w:p w14:paraId="0AF31A58" w14:textId="77777777" w:rsidR="006637CC" w:rsidRPr="00785B20" w:rsidRDefault="006637CC" w:rsidP="006637CC">
      <w:pPr>
        <w:pStyle w:val="4"/>
        <w:numPr>
          <w:ilvl w:val="0"/>
          <w:numId w:val="16"/>
        </w:numPr>
        <w:autoSpaceDE w:val="0"/>
        <w:autoSpaceDN w:val="0"/>
        <w:adjustRightInd w:val="0"/>
        <w:spacing w:line="204" w:lineRule="atLeast"/>
        <w:textAlignment w:val="center"/>
        <w:rPr>
          <w:rtl/>
        </w:rPr>
      </w:pPr>
      <w:r w:rsidRPr="00785B20">
        <w:rPr>
          <w:rtl/>
        </w:rPr>
        <w:t>השפעת תזכיר החוק המוצע על החוק הקיים</w:t>
      </w:r>
    </w:p>
    <w:p w14:paraId="2B466196" w14:textId="77777777" w:rsidR="006637CC" w:rsidRDefault="006637CC" w:rsidP="006637CC">
      <w:pPr>
        <w:rPr>
          <w:rtl/>
        </w:rPr>
      </w:pPr>
      <w:r w:rsidRPr="00850DF7">
        <w:rPr>
          <w:rFonts w:hint="cs"/>
          <w:rtl/>
        </w:rPr>
        <w:t>הארכת מועדים לעניין החוקים הבאים:</w:t>
      </w:r>
    </w:p>
    <w:p w14:paraId="461A7323" w14:textId="77777777" w:rsidR="006637CC" w:rsidRDefault="003438E0" w:rsidP="0069574E">
      <w:r>
        <w:rPr>
          <w:rFonts w:hint="cs"/>
          <w:rtl/>
        </w:rPr>
        <w:t xml:space="preserve">פקודת מס הכנסה; חוק מס ערך מוסף, </w:t>
      </w:r>
      <w:r w:rsidR="00850DF7">
        <w:rPr>
          <w:rFonts w:hint="cs"/>
          <w:rtl/>
        </w:rPr>
        <w:t>ה</w:t>
      </w:r>
      <w:r>
        <w:rPr>
          <w:rFonts w:hint="cs"/>
          <w:rtl/>
        </w:rPr>
        <w:t xml:space="preserve">תשל"ו- 1975; </w:t>
      </w:r>
      <w:r w:rsidR="00850DF7">
        <w:rPr>
          <w:rFonts w:hint="cs"/>
          <w:rtl/>
        </w:rPr>
        <w:t xml:space="preserve">פקודת המכס; חוק מסים עקיפים (מס ששולם ביתר או בחסר), התשכ"ח-1968; חוק מיסוי מקרקעין (שבח ורכישה), התשכ"ג- 1963; חוק לעידוד השקעות הון, התשי"ט- 1959; חוק עידוד התעשייה (מסים) התשכ"ט-1969; </w:t>
      </w:r>
      <w:r w:rsidR="00CA3A07" w:rsidRPr="00E66856">
        <w:rPr>
          <w:rtl/>
        </w:rPr>
        <w:t>חוק לעידוד תעשייה עתירת ידע (הוראת שעה), התשפ"ג-2023</w:t>
      </w:r>
      <w:r w:rsidR="00CA3A07">
        <w:rPr>
          <w:rFonts w:hint="cs"/>
          <w:rtl/>
        </w:rPr>
        <w:t>; חוק מס קנייה(טובין ושירותים) התשי"ב-1952; חוק הבלו על דלק, התשי"ח-1958;</w:t>
      </w:r>
      <w:r w:rsidR="00850DF7">
        <w:rPr>
          <w:rFonts w:hint="cs"/>
          <w:rtl/>
        </w:rPr>
        <w:t xml:space="preserve"> </w:t>
      </w:r>
      <w:r w:rsidR="008F1FC4">
        <w:rPr>
          <w:rFonts w:hint="cs"/>
          <w:rtl/>
        </w:rPr>
        <w:t>חוק מס רכוש וקרן פיצויים, התשכ"א- 1961;</w:t>
      </w:r>
      <w:r w:rsidR="00935EDE">
        <w:rPr>
          <w:rFonts w:hint="cs"/>
          <w:rtl/>
        </w:rPr>
        <w:t xml:space="preserve"> חוק מיסוי רווחים ממשאבי טבע, התשע"א-2011;  </w:t>
      </w:r>
      <w:r w:rsidR="00935EDE" w:rsidRPr="00E66856">
        <w:rPr>
          <w:rFonts w:hint="cs"/>
          <w:rtl/>
        </w:rPr>
        <w:t>חוק התכנית לסיוע כלכלי (נגיף הקורונה החדש)(הוראת שעה)</w:t>
      </w:r>
      <w:r w:rsidR="00935EDE">
        <w:rPr>
          <w:rFonts w:hint="cs"/>
          <w:rtl/>
        </w:rPr>
        <w:t xml:space="preserve">, </w:t>
      </w:r>
      <w:r w:rsidR="00935EDE" w:rsidRPr="00E66856">
        <w:rPr>
          <w:rFonts w:hint="cs"/>
          <w:rtl/>
        </w:rPr>
        <w:t xml:space="preserve"> התש"ף-2020</w:t>
      </w:r>
      <w:r w:rsidR="00935EDE">
        <w:rPr>
          <w:rFonts w:hint="cs"/>
          <w:rtl/>
        </w:rPr>
        <w:t>;</w:t>
      </w:r>
      <w:r w:rsidR="00F561EA">
        <w:rPr>
          <w:rFonts w:hint="cs"/>
          <w:rtl/>
        </w:rPr>
        <w:t xml:space="preserve"> </w:t>
      </w:r>
      <w:r w:rsidR="00F561EA" w:rsidRPr="00E66856">
        <w:rPr>
          <w:rtl/>
        </w:rPr>
        <w:t>חוק מענק סיוע לעסקים בשל ההשפעה הכלכלית של התפשטות זן אומיקרון של נגיף הקורונה החדש (הוראת שעה), תשפ"ב-2022</w:t>
      </w:r>
      <w:r w:rsidR="00410F18">
        <w:rPr>
          <w:rFonts w:hint="cs"/>
          <w:rtl/>
        </w:rPr>
        <w:t>;</w:t>
      </w:r>
      <w:r w:rsidR="00850DF7">
        <w:rPr>
          <w:rFonts w:hint="cs"/>
          <w:rtl/>
        </w:rPr>
        <w:t xml:space="preserve">  </w:t>
      </w:r>
      <w:r w:rsidR="00850DF7" w:rsidRPr="00E66856">
        <w:rPr>
          <w:rtl/>
        </w:rPr>
        <w:t xml:space="preserve">תקנות המכס (חישוב ערכם של טובין שיובאו לשימוש עצמי), </w:t>
      </w:r>
      <w:r w:rsidR="00850DF7" w:rsidRPr="00E66856">
        <w:rPr>
          <w:rFonts w:hint="eastAsia"/>
          <w:rtl/>
        </w:rPr>
        <w:t>ה</w:t>
      </w:r>
      <w:r w:rsidR="00850DF7" w:rsidRPr="00E66856">
        <w:rPr>
          <w:rtl/>
        </w:rPr>
        <w:t>תשס"ז-2006</w:t>
      </w:r>
      <w:r w:rsidR="00850DF7">
        <w:rPr>
          <w:rFonts w:hint="cs"/>
          <w:rtl/>
        </w:rPr>
        <w:t xml:space="preserve">; </w:t>
      </w:r>
      <w:r w:rsidR="00850DF7" w:rsidRPr="00E66856">
        <w:rPr>
          <w:rFonts w:hint="cs"/>
          <w:rtl/>
        </w:rPr>
        <w:t>תקנות מיסוי מקרקעין (שבח ורכישה) (מס רכישה), התשל"ה-1975</w:t>
      </w:r>
      <w:r w:rsidR="00935EDE">
        <w:rPr>
          <w:rFonts w:hint="cs"/>
          <w:rtl/>
        </w:rPr>
        <w:t>; תקנות מס רכוש וקרן פיצויים (תשלום פיצויים) (נזק מלחמה ונזק עקיף), התשל"ג-1973</w:t>
      </w:r>
      <w:r w:rsidR="00E4117F">
        <w:rPr>
          <w:rFonts w:hint="cs"/>
          <w:rtl/>
        </w:rPr>
        <w:t>.</w:t>
      </w:r>
    </w:p>
    <w:p w14:paraId="7FBFCFAA" w14:textId="77777777" w:rsidR="00DD6C76" w:rsidRPr="00850DF7" w:rsidRDefault="00DD6C76" w:rsidP="0069574E">
      <w:pPr>
        <w:rPr>
          <w:rtl/>
        </w:rPr>
      </w:pPr>
    </w:p>
    <w:p w14:paraId="7C8EB7AC" w14:textId="77777777" w:rsidR="00DD6C76" w:rsidRDefault="00DD6C76" w:rsidP="0069574E">
      <w:pPr>
        <w:pStyle w:val="4"/>
        <w:rPr>
          <w:rtl/>
        </w:rPr>
      </w:pPr>
      <w:bookmarkStart w:id="15" w:name="_Toc149638429"/>
      <w:bookmarkStart w:id="16" w:name="_Toc149638473"/>
      <w:bookmarkStart w:id="17" w:name="_Toc149664514"/>
      <w:r>
        <w:rPr>
          <w:rFonts w:hint="cs"/>
          <w:rtl/>
        </w:rPr>
        <w:t>השפעת תזכיר החוק המוצע על התקציב ועל התקן המנהלי של המשרד היוזם, משרדים אחרים ורשויות אחרות.</w:t>
      </w:r>
      <w:bookmarkEnd w:id="15"/>
      <w:bookmarkEnd w:id="16"/>
      <w:bookmarkEnd w:id="17"/>
      <w:r>
        <w:rPr>
          <w:rFonts w:hint="cs"/>
          <w:rtl/>
        </w:rPr>
        <w:t xml:space="preserve"> </w:t>
      </w:r>
    </w:p>
    <w:p w14:paraId="0A2938B3" w14:textId="77777777" w:rsidR="00DD6C76" w:rsidRPr="00E66856" w:rsidRDefault="00261289" w:rsidP="00AC5B97">
      <w:pPr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lastRenderedPageBreak/>
        <w:t xml:space="preserve">בשנת 2023 אבדן הכנסות ממסים </w:t>
      </w:r>
      <w:r w:rsidR="00043DD7">
        <w:rPr>
          <w:rFonts w:hint="cs"/>
          <w:sz w:val="26"/>
          <w:szCs w:val="26"/>
          <w:rtl/>
        </w:rPr>
        <w:t xml:space="preserve">מוערך </w:t>
      </w:r>
      <w:r>
        <w:rPr>
          <w:rFonts w:hint="cs"/>
          <w:sz w:val="26"/>
          <w:szCs w:val="26"/>
          <w:rtl/>
        </w:rPr>
        <w:t xml:space="preserve">בסך </w:t>
      </w:r>
      <w:r w:rsidR="00A652C3">
        <w:rPr>
          <w:rFonts w:hint="cs"/>
          <w:sz w:val="26"/>
          <w:szCs w:val="26"/>
          <w:rtl/>
        </w:rPr>
        <w:t xml:space="preserve"> </w:t>
      </w:r>
      <w:r w:rsidR="00E53B4C">
        <w:rPr>
          <w:rFonts w:hint="cs"/>
          <w:sz w:val="26"/>
          <w:szCs w:val="26"/>
          <w:rtl/>
        </w:rPr>
        <w:t>4</w:t>
      </w:r>
      <w:r w:rsidR="00E85762">
        <w:rPr>
          <w:rFonts w:hint="cs"/>
          <w:sz w:val="26"/>
          <w:szCs w:val="26"/>
          <w:rtl/>
        </w:rPr>
        <w:t xml:space="preserve">0 מיליון </w:t>
      </w:r>
      <w:r>
        <w:rPr>
          <w:rFonts w:hint="cs"/>
          <w:sz w:val="26"/>
          <w:szCs w:val="26"/>
          <w:rtl/>
        </w:rPr>
        <w:t>ש"ח,</w:t>
      </w:r>
      <w:r w:rsidR="00AC5B97">
        <w:rPr>
          <w:rFonts w:hint="cs"/>
          <w:sz w:val="26"/>
          <w:szCs w:val="26"/>
          <w:rtl/>
        </w:rPr>
        <w:t xml:space="preserve"> </w:t>
      </w:r>
      <w:r w:rsidR="00A652C3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 xml:space="preserve">בשנת 2024 </w:t>
      </w:r>
      <w:r w:rsidR="00A652C3">
        <w:rPr>
          <w:rFonts w:hint="cs"/>
          <w:sz w:val="26"/>
          <w:szCs w:val="26"/>
          <w:rtl/>
        </w:rPr>
        <w:t>תוספת הכנסות</w:t>
      </w:r>
      <w:r>
        <w:rPr>
          <w:rFonts w:hint="cs"/>
          <w:sz w:val="26"/>
          <w:szCs w:val="26"/>
          <w:rtl/>
        </w:rPr>
        <w:t xml:space="preserve"> ממסים</w:t>
      </w:r>
      <w:r w:rsidR="00A652C3">
        <w:rPr>
          <w:rFonts w:hint="cs"/>
          <w:sz w:val="26"/>
          <w:szCs w:val="26"/>
          <w:rtl/>
        </w:rPr>
        <w:t xml:space="preserve"> </w:t>
      </w:r>
      <w:r w:rsidR="00043DD7">
        <w:rPr>
          <w:rFonts w:hint="cs"/>
          <w:sz w:val="26"/>
          <w:szCs w:val="26"/>
          <w:rtl/>
        </w:rPr>
        <w:t xml:space="preserve">מוערכת </w:t>
      </w:r>
      <w:r>
        <w:rPr>
          <w:rFonts w:hint="cs"/>
          <w:sz w:val="26"/>
          <w:szCs w:val="26"/>
          <w:rtl/>
        </w:rPr>
        <w:t>בסך 1</w:t>
      </w:r>
      <w:r w:rsidR="00E34282">
        <w:rPr>
          <w:rFonts w:hint="cs"/>
          <w:sz w:val="26"/>
          <w:szCs w:val="26"/>
          <w:rtl/>
        </w:rPr>
        <w:t>7</w:t>
      </w:r>
      <w:r>
        <w:rPr>
          <w:rFonts w:hint="cs"/>
          <w:sz w:val="26"/>
          <w:szCs w:val="26"/>
          <w:rtl/>
        </w:rPr>
        <w:t>0</w:t>
      </w:r>
      <w:r w:rsidR="00A652C3">
        <w:rPr>
          <w:rFonts w:hint="cs"/>
          <w:sz w:val="26"/>
          <w:szCs w:val="26"/>
          <w:rtl/>
        </w:rPr>
        <w:t xml:space="preserve"> מ</w:t>
      </w:r>
      <w:r>
        <w:rPr>
          <w:rFonts w:hint="cs"/>
          <w:sz w:val="26"/>
          <w:szCs w:val="26"/>
          <w:rtl/>
        </w:rPr>
        <w:t>י</w:t>
      </w:r>
      <w:r w:rsidR="00A652C3">
        <w:rPr>
          <w:rFonts w:hint="cs"/>
          <w:sz w:val="26"/>
          <w:szCs w:val="26"/>
          <w:rtl/>
        </w:rPr>
        <w:t>ליון</w:t>
      </w:r>
      <w:r>
        <w:rPr>
          <w:rFonts w:hint="cs"/>
          <w:sz w:val="26"/>
          <w:szCs w:val="26"/>
          <w:rtl/>
        </w:rPr>
        <w:t xml:space="preserve"> ש"ח</w:t>
      </w:r>
      <w:r w:rsidR="00202DA6">
        <w:rPr>
          <w:rFonts w:hint="cs"/>
          <w:sz w:val="26"/>
          <w:szCs w:val="26"/>
          <w:rtl/>
        </w:rPr>
        <w:t>.</w:t>
      </w:r>
    </w:p>
    <w:p w14:paraId="6A70DE33" w14:textId="77777777" w:rsidR="00E66856" w:rsidRDefault="00E66856" w:rsidP="0069574E">
      <w:pPr>
        <w:rPr>
          <w:rtl/>
        </w:rPr>
      </w:pPr>
    </w:p>
    <w:p w14:paraId="07094D0E" w14:textId="77777777" w:rsidR="00DD6C76" w:rsidRDefault="00DD6C76" w:rsidP="0069574E">
      <w:pPr>
        <w:pStyle w:val="4"/>
        <w:rPr>
          <w:rtl/>
        </w:rPr>
      </w:pPr>
      <w:bookmarkStart w:id="18" w:name="_Toc149638430"/>
      <w:bookmarkStart w:id="19" w:name="_Toc149638474"/>
      <w:bookmarkStart w:id="20" w:name="_Toc149664515"/>
      <w:r>
        <w:rPr>
          <w:rFonts w:hint="cs"/>
          <w:rtl/>
        </w:rPr>
        <w:t>להלן נוסח תזכיר החוק המוצע ודברי הסבר</w:t>
      </w:r>
      <w:bookmarkEnd w:id="18"/>
      <w:bookmarkEnd w:id="19"/>
      <w:bookmarkEnd w:id="20"/>
    </w:p>
    <w:p w14:paraId="0ADDD59A" w14:textId="77777777" w:rsidR="00DD6C76" w:rsidRDefault="00DD6C76" w:rsidP="0069574E">
      <w:pPr>
        <w:bidi w:val="0"/>
        <w:rPr>
          <w:rFonts w:asciiTheme="minorHAnsi" w:hAnsiTheme="minorHAnsi"/>
        </w:rPr>
      </w:pPr>
      <w:r>
        <w:rPr>
          <w:rtl/>
        </w:rPr>
        <w:br w:type="page"/>
      </w:r>
    </w:p>
    <w:p w14:paraId="7B581B4E" w14:textId="77777777" w:rsidR="00DD6C76" w:rsidRDefault="00DD6C76" w:rsidP="0069574E">
      <w:pPr>
        <w:pStyle w:val="HeadMitparsemetBaze"/>
        <w:keepNext w:val="0"/>
        <w:keepLines w:val="0"/>
        <w:pageBreakBefore w:val="0"/>
      </w:pPr>
      <w:r>
        <w:rPr>
          <w:rtl/>
        </w:rPr>
        <w:lastRenderedPageBreak/>
        <w:t>תזכיר חוק מטעם משרד</w:t>
      </w:r>
      <w:r w:rsidR="002443C6">
        <w:rPr>
          <w:rFonts w:hint="cs"/>
          <w:rtl/>
        </w:rPr>
        <w:t xml:space="preserve"> האוצר</w:t>
      </w:r>
      <w:r>
        <w:rPr>
          <w:rtl/>
        </w:rPr>
        <w:t xml:space="preserve">: </w:t>
      </w:r>
    </w:p>
    <w:p w14:paraId="7E1C7F89" w14:textId="77777777" w:rsidR="00A447EB" w:rsidRPr="00A447EB" w:rsidRDefault="00DD6C76" w:rsidP="00A447EB">
      <w:pPr>
        <w:jc w:val="center"/>
        <w:rPr>
          <w:b/>
          <w:bCs/>
          <w:sz w:val="26"/>
          <w:szCs w:val="26"/>
          <w:rtl/>
        </w:rPr>
      </w:pPr>
      <w:bookmarkStart w:id="21" w:name="_Toc503130994"/>
      <w:r w:rsidRPr="00A447EB">
        <w:rPr>
          <w:b/>
          <w:bCs/>
          <w:sz w:val="26"/>
          <w:szCs w:val="26"/>
          <w:rtl/>
        </w:rPr>
        <w:t xml:space="preserve">תזכיר </w:t>
      </w:r>
      <w:bookmarkEnd w:id="21"/>
      <w:r w:rsidR="00A447EB" w:rsidRPr="00A447EB">
        <w:rPr>
          <w:rFonts w:hint="cs"/>
          <w:b/>
          <w:bCs/>
          <w:sz w:val="26"/>
          <w:szCs w:val="26"/>
          <w:rtl/>
        </w:rPr>
        <w:t>חוק הארכת מועדים ודחיית תקופות בענייני הליכי מס (הוראת שעה- חרבות ברזל)</w:t>
      </w:r>
      <w:r w:rsidR="00C52E73">
        <w:rPr>
          <w:rFonts w:hint="cs"/>
          <w:b/>
          <w:bCs/>
          <w:sz w:val="26"/>
          <w:szCs w:val="26"/>
          <w:rtl/>
        </w:rPr>
        <w:t>,</w:t>
      </w:r>
      <w:r w:rsidR="00A447EB" w:rsidRPr="00A447EB">
        <w:rPr>
          <w:rFonts w:hint="cs"/>
          <w:b/>
          <w:bCs/>
          <w:sz w:val="26"/>
          <w:szCs w:val="26"/>
          <w:rtl/>
        </w:rPr>
        <w:t xml:space="preserve"> התשפ"ד- 2023</w:t>
      </w:r>
    </w:p>
    <w:p w14:paraId="2655A2E2" w14:textId="77777777" w:rsidR="00DD6C76" w:rsidRPr="00A447EB" w:rsidRDefault="00DD6C76" w:rsidP="0069574E">
      <w:pPr>
        <w:pStyle w:val="HeadHatzaotHok"/>
        <w:keepNext w:val="0"/>
        <w:keepLines w:val="0"/>
        <w:rPr>
          <w:rtl/>
        </w:rPr>
      </w:pPr>
    </w:p>
    <w:tbl>
      <w:tblPr>
        <w:bidiVisual/>
        <w:tblW w:w="9641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624"/>
        <w:gridCol w:w="624"/>
        <w:gridCol w:w="624"/>
        <w:gridCol w:w="5898"/>
      </w:tblGrid>
      <w:tr w:rsidR="00DD6C76" w14:paraId="4F208755" w14:textId="77777777" w:rsidTr="004A08B3">
        <w:trPr>
          <w:cantSplit/>
          <w:trHeight w:val="60"/>
        </w:trPr>
        <w:tc>
          <w:tcPr>
            <w:tcW w:w="1871" w:type="dxa"/>
          </w:tcPr>
          <w:p w14:paraId="3E56722C" w14:textId="77777777" w:rsidR="00DD6C76" w:rsidRDefault="00DD6C76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</w:tcPr>
          <w:p w14:paraId="1566D30F" w14:textId="77777777" w:rsidR="00DD6C76" w:rsidRDefault="00DD6C76">
            <w:pPr>
              <w:pStyle w:val="TableText"/>
            </w:pPr>
          </w:p>
        </w:tc>
        <w:tc>
          <w:tcPr>
            <w:tcW w:w="7146" w:type="dxa"/>
            <w:gridSpan w:val="3"/>
          </w:tcPr>
          <w:p w14:paraId="24BBAE75" w14:textId="77777777" w:rsidR="00DD6C76" w:rsidRDefault="00DD6C76">
            <w:pPr>
              <w:pStyle w:val="TableHead"/>
            </w:pPr>
          </w:p>
        </w:tc>
      </w:tr>
      <w:tr w:rsidR="00DD6C76" w14:paraId="6D9D1DC7" w14:textId="77777777" w:rsidTr="004A08B3">
        <w:trPr>
          <w:cantSplit/>
          <w:trHeight w:val="60"/>
        </w:trPr>
        <w:tc>
          <w:tcPr>
            <w:tcW w:w="1871" w:type="dxa"/>
          </w:tcPr>
          <w:p w14:paraId="2DF4B700" w14:textId="77777777" w:rsidR="00DD6C76" w:rsidRDefault="00A447EB">
            <w:pPr>
              <w:pStyle w:val="TableSideHeading"/>
            </w:pPr>
            <w:bookmarkStart w:id="22" w:name="_Toc149638411"/>
            <w:bookmarkStart w:id="23" w:name="_Toc149638431"/>
            <w:bookmarkStart w:id="24" w:name="_Toc149638475"/>
            <w:bookmarkStart w:id="25" w:name="_Toc149664516"/>
            <w:r>
              <w:rPr>
                <w:rFonts w:hint="cs"/>
                <w:rtl/>
              </w:rPr>
              <w:t>הגדרה</w:t>
            </w:r>
            <w:bookmarkEnd w:id="22"/>
            <w:bookmarkEnd w:id="23"/>
            <w:bookmarkEnd w:id="24"/>
            <w:bookmarkEnd w:id="25"/>
          </w:p>
        </w:tc>
        <w:tc>
          <w:tcPr>
            <w:tcW w:w="624" w:type="dxa"/>
          </w:tcPr>
          <w:p w14:paraId="201D3CCA" w14:textId="77777777" w:rsidR="00DD6C76" w:rsidRDefault="00DD6C76" w:rsidP="00DD6C76">
            <w:pPr>
              <w:pStyle w:val="TableText"/>
              <w:numPr>
                <w:ilvl w:val="0"/>
                <w:numId w:val="2"/>
              </w:numPr>
            </w:pPr>
          </w:p>
        </w:tc>
        <w:tc>
          <w:tcPr>
            <w:tcW w:w="7146" w:type="dxa"/>
            <w:gridSpan w:val="3"/>
          </w:tcPr>
          <w:p w14:paraId="1CB1D74B" w14:textId="77777777" w:rsidR="00DD6C76" w:rsidRDefault="00A447EB">
            <w:pPr>
              <w:pStyle w:val="TableBlock"/>
            </w:pPr>
            <w:r>
              <w:rPr>
                <w:rFonts w:hint="cs"/>
                <w:rtl/>
              </w:rPr>
              <w:t xml:space="preserve">"התקופה הקובעת"- התקופה שמיום כ"ב בתשרי </w:t>
            </w:r>
            <w:r w:rsidR="00946E34">
              <w:rPr>
                <w:rFonts w:hint="cs"/>
                <w:rtl/>
              </w:rPr>
              <w:t xml:space="preserve">התשפ"ד </w:t>
            </w:r>
            <w:r>
              <w:rPr>
                <w:rFonts w:hint="cs"/>
                <w:rtl/>
              </w:rPr>
              <w:t xml:space="preserve">(7 באוקטובר 2023) עד יום </w:t>
            </w:r>
            <w:r w:rsidR="005F245D">
              <w:rPr>
                <w:rFonts w:hint="cs"/>
                <w:rtl/>
              </w:rPr>
              <w:t>כ"ו</w:t>
            </w:r>
            <w:r>
              <w:rPr>
                <w:rFonts w:hint="cs"/>
                <w:rtl/>
              </w:rPr>
              <w:t xml:space="preserve"> בטבת התשפ"ד (</w:t>
            </w:r>
            <w:r w:rsidR="009F1C2D">
              <w:rPr>
                <w:rFonts w:hint="cs"/>
                <w:rtl/>
              </w:rPr>
              <w:t>7 בינואר 2024</w:t>
            </w:r>
            <w:r w:rsidR="00946E34">
              <w:rPr>
                <w:rFonts w:hint="cs"/>
                <w:rtl/>
              </w:rPr>
              <w:t>).</w:t>
            </w:r>
          </w:p>
        </w:tc>
      </w:tr>
      <w:tr w:rsidR="004A08B3" w14:paraId="48AAF7EE" w14:textId="77777777" w:rsidTr="004A08B3">
        <w:trPr>
          <w:cantSplit/>
          <w:trHeight w:val="60"/>
        </w:trPr>
        <w:tc>
          <w:tcPr>
            <w:tcW w:w="1871" w:type="dxa"/>
          </w:tcPr>
          <w:p w14:paraId="3F8C4AB6" w14:textId="77777777" w:rsidR="004A08B3" w:rsidRDefault="004A08B3">
            <w:pPr>
              <w:pStyle w:val="TableSideHeading"/>
            </w:pPr>
            <w:bookmarkStart w:id="26" w:name="_Toc149638412"/>
            <w:bookmarkStart w:id="27" w:name="_Toc149638432"/>
            <w:bookmarkStart w:id="28" w:name="_Toc149638476"/>
            <w:bookmarkStart w:id="29" w:name="_Toc149664517"/>
            <w:r>
              <w:rPr>
                <w:rFonts w:hint="cs"/>
                <w:rtl/>
              </w:rPr>
              <w:t>דחיית תקופות ומועדים בהליכי מס</w:t>
            </w:r>
            <w:bookmarkEnd w:id="26"/>
            <w:bookmarkEnd w:id="27"/>
            <w:bookmarkEnd w:id="28"/>
            <w:bookmarkEnd w:id="29"/>
          </w:p>
        </w:tc>
        <w:tc>
          <w:tcPr>
            <w:tcW w:w="624" w:type="dxa"/>
          </w:tcPr>
          <w:p w14:paraId="041B05DB" w14:textId="77777777" w:rsidR="004A08B3" w:rsidRDefault="004A08B3">
            <w:pPr>
              <w:pStyle w:val="TableText"/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624" w:type="dxa"/>
          </w:tcPr>
          <w:p w14:paraId="1BBC5EF4" w14:textId="77777777" w:rsidR="004A08B3" w:rsidRDefault="004A08B3">
            <w:pPr>
              <w:pStyle w:val="TableText"/>
            </w:pPr>
            <w:r>
              <w:rPr>
                <w:rFonts w:hint="cs"/>
                <w:rtl/>
              </w:rPr>
              <w:t>(א)</w:t>
            </w:r>
          </w:p>
        </w:tc>
        <w:tc>
          <w:tcPr>
            <w:tcW w:w="6522" w:type="dxa"/>
            <w:gridSpan w:val="2"/>
          </w:tcPr>
          <w:p w14:paraId="2493798E" w14:textId="77777777" w:rsidR="004A08B3" w:rsidRDefault="004A08B3">
            <w:pPr>
              <w:pStyle w:val="TableBlock"/>
            </w:pPr>
            <w:r>
              <w:rPr>
                <w:rFonts w:hint="cs"/>
                <w:rtl/>
              </w:rPr>
              <w:t>בחישוב התקופות שנקבעו בהוראות החיקוקים המפורטים בסעיף (ב) להלן, התקופה הקובעת לא תבוא במניין, אם התקיימו שני אלה:</w:t>
            </w:r>
          </w:p>
        </w:tc>
      </w:tr>
      <w:tr w:rsidR="004A08B3" w14:paraId="1B644A1B" w14:textId="77777777" w:rsidTr="004A08B3">
        <w:trPr>
          <w:cantSplit/>
          <w:trHeight w:val="60"/>
        </w:trPr>
        <w:tc>
          <w:tcPr>
            <w:tcW w:w="1871" w:type="dxa"/>
          </w:tcPr>
          <w:p w14:paraId="61F639E7" w14:textId="77777777" w:rsidR="004A08B3" w:rsidRDefault="004A08B3">
            <w:pPr>
              <w:pStyle w:val="TableSideHeading"/>
            </w:pPr>
          </w:p>
        </w:tc>
        <w:tc>
          <w:tcPr>
            <w:tcW w:w="624" w:type="dxa"/>
          </w:tcPr>
          <w:p w14:paraId="3E1847F5" w14:textId="77777777" w:rsidR="004A08B3" w:rsidRDefault="004A08B3">
            <w:pPr>
              <w:pStyle w:val="TableText"/>
            </w:pPr>
          </w:p>
        </w:tc>
        <w:tc>
          <w:tcPr>
            <w:tcW w:w="624" w:type="dxa"/>
          </w:tcPr>
          <w:p w14:paraId="448D5134" w14:textId="77777777" w:rsidR="004A08B3" w:rsidRDefault="004A08B3">
            <w:pPr>
              <w:pStyle w:val="TableText"/>
            </w:pPr>
          </w:p>
        </w:tc>
        <w:tc>
          <w:tcPr>
            <w:tcW w:w="624" w:type="dxa"/>
          </w:tcPr>
          <w:p w14:paraId="7C711180" w14:textId="77777777" w:rsidR="004A08B3" w:rsidRDefault="004A08B3">
            <w:pPr>
              <w:pStyle w:val="TableText"/>
            </w:pPr>
            <w:r>
              <w:rPr>
                <w:rFonts w:hint="cs"/>
                <w:rtl/>
              </w:rPr>
              <w:t>(1)</w:t>
            </w:r>
          </w:p>
        </w:tc>
        <w:tc>
          <w:tcPr>
            <w:tcW w:w="5898" w:type="dxa"/>
          </w:tcPr>
          <w:p w14:paraId="18B964FF" w14:textId="77777777" w:rsidR="004A08B3" w:rsidRDefault="004A08B3">
            <w:pPr>
              <w:pStyle w:val="TableBlock"/>
            </w:pPr>
            <w:r>
              <w:rPr>
                <w:rFonts w:hint="cs"/>
                <w:rtl/>
              </w:rPr>
              <w:t>מועדי תחילתן של התקופות חלים לפני תום התקופה הקובעת;</w:t>
            </w:r>
          </w:p>
        </w:tc>
      </w:tr>
      <w:tr w:rsidR="004A08B3" w14:paraId="1C6A11FF" w14:textId="77777777" w:rsidTr="004A08B3">
        <w:trPr>
          <w:cantSplit/>
          <w:trHeight w:val="60"/>
        </w:trPr>
        <w:tc>
          <w:tcPr>
            <w:tcW w:w="1871" w:type="dxa"/>
          </w:tcPr>
          <w:p w14:paraId="717B9B83" w14:textId="77777777" w:rsidR="004A08B3" w:rsidRDefault="004A08B3">
            <w:pPr>
              <w:pStyle w:val="TableSideHeading"/>
            </w:pPr>
          </w:p>
        </w:tc>
        <w:tc>
          <w:tcPr>
            <w:tcW w:w="624" w:type="dxa"/>
          </w:tcPr>
          <w:p w14:paraId="2E09E927" w14:textId="77777777" w:rsidR="004A08B3" w:rsidRDefault="004A08B3" w:rsidP="004A08B3">
            <w:pPr>
              <w:pStyle w:val="TableText"/>
            </w:pPr>
          </w:p>
        </w:tc>
        <w:tc>
          <w:tcPr>
            <w:tcW w:w="624" w:type="dxa"/>
          </w:tcPr>
          <w:p w14:paraId="4D423AAF" w14:textId="77777777" w:rsidR="004A08B3" w:rsidRDefault="004A08B3">
            <w:pPr>
              <w:pStyle w:val="TableText"/>
            </w:pPr>
          </w:p>
        </w:tc>
        <w:tc>
          <w:tcPr>
            <w:tcW w:w="624" w:type="dxa"/>
          </w:tcPr>
          <w:p w14:paraId="00D22A4A" w14:textId="77777777" w:rsidR="004A08B3" w:rsidRDefault="004A08B3">
            <w:pPr>
              <w:pStyle w:val="TableText"/>
            </w:pPr>
            <w:r>
              <w:rPr>
                <w:rFonts w:hint="cs"/>
                <w:rtl/>
              </w:rPr>
              <w:t>(2)</w:t>
            </w:r>
          </w:p>
        </w:tc>
        <w:tc>
          <w:tcPr>
            <w:tcW w:w="5898" w:type="dxa"/>
          </w:tcPr>
          <w:p w14:paraId="19ACFCC7" w14:textId="77777777" w:rsidR="004A08B3" w:rsidRDefault="004A08B3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מועדי סיומן של התקופות חלים בתקופה הקובעת או בחודשיים שאחריה.</w:t>
            </w:r>
          </w:p>
        </w:tc>
      </w:tr>
      <w:tr w:rsidR="004A08B3" w14:paraId="6157B0CC" w14:textId="77777777" w:rsidTr="004A08B3">
        <w:trPr>
          <w:cantSplit/>
          <w:trHeight w:val="60"/>
        </w:trPr>
        <w:tc>
          <w:tcPr>
            <w:tcW w:w="1871" w:type="dxa"/>
          </w:tcPr>
          <w:p w14:paraId="2C412F5A" w14:textId="77777777" w:rsidR="004A08B3" w:rsidRDefault="004A08B3">
            <w:pPr>
              <w:pStyle w:val="TableSideHeading"/>
            </w:pPr>
          </w:p>
        </w:tc>
        <w:tc>
          <w:tcPr>
            <w:tcW w:w="624" w:type="dxa"/>
          </w:tcPr>
          <w:p w14:paraId="5BC26B5E" w14:textId="77777777" w:rsidR="004A08B3" w:rsidRDefault="004A08B3">
            <w:pPr>
              <w:pStyle w:val="TableText"/>
            </w:pPr>
          </w:p>
        </w:tc>
        <w:tc>
          <w:tcPr>
            <w:tcW w:w="7146" w:type="dxa"/>
            <w:gridSpan w:val="3"/>
          </w:tcPr>
          <w:p w14:paraId="4C9DEB46" w14:textId="77777777" w:rsidR="004A08B3" w:rsidRPr="00C34DE2" w:rsidRDefault="004A08B3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(ב) אלה התקופות שעליהן תחול הוראת סעיף קטן (א):</w:t>
            </w:r>
          </w:p>
        </w:tc>
      </w:tr>
      <w:tr w:rsidR="004A08B3" w14:paraId="28274AB7" w14:textId="77777777">
        <w:trPr>
          <w:cantSplit/>
          <w:trHeight w:val="60"/>
        </w:trPr>
        <w:tc>
          <w:tcPr>
            <w:tcW w:w="1871" w:type="dxa"/>
          </w:tcPr>
          <w:p w14:paraId="7C26702D" w14:textId="77777777" w:rsidR="004A08B3" w:rsidRDefault="004A08B3">
            <w:pPr>
              <w:pStyle w:val="TableSideHeading"/>
            </w:pPr>
          </w:p>
        </w:tc>
        <w:tc>
          <w:tcPr>
            <w:tcW w:w="624" w:type="dxa"/>
          </w:tcPr>
          <w:p w14:paraId="69AA6807" w14:textId="77777777" w:rsidR="004A08B3" w:rsidRDefault="004A08B3">
            <w:pPr>
              <w:pStyle w:val="TableText"/>
            </w:pPr>
          </w:p>
        </w:tc>
        <w:tc>
          <w:tcPr>
            <w:tcW w:w="624" w:type="dxa"/>
          </w:tcPr>
          <w:p w14:paraId="4965D425" w14:textId="77777777" w:rsidR="004A08B3" w:rsidRDefault="004A08B3">
            <w:pPr>
              <w:pStyle w:val="TableText"/>
            </w:pPr>
            <w:r>
              <w:rPr>
                <w:rFonts w:hint="cs"/>
                <w:rtl/>
              </w:rPr>
              <w:t>(1)</w:t>
            </w:r>
          </w:p>
        </w:tc>
        <w:tc>
          <w:tcPr>
            <w:tcW w:w="6522" w:type="dxa"/>
            <w:gridSpan w:val="2"/>
          </w:tcPr>
          <w:p w14:paraId="62887617" w14:textId="77777777" w:rsidR="004A08B3" w:rsidRDefault="004A08B3">
            <w:pPr>
              <w:pStyle w:val="TableBlock"/>
            </w:pPr>
            <w:r>
              <w:rPr>
                <w:rFonts w:hint="cs"/>
                <w:rtl/>
              </w:rPr>
              <w:t>בפקודת מס הכנסה</w:t>
            </w:r>
            <w:r w:rsidR="00F07844">
              <w:rPr>
                <w:rStyle w:val="a7"/>
                <w:rtl/>
              </w:rPr>
              <w:footnoteReference w:id="1"/>
            </w:r>
            <w:r>
              <w:rPr>
                <w:rFonts w:hint="cs"/>
                <w:rtl/>
              </w:rPr>
              <w:t xml:space="preserve">: </w:t>
            </w:r>
          </w:p>
        </w:tc>
      </w:tr>
      <w:tr w:rsidR="004A08B3" w14:paraId="57196A1B" w14:textId="77777777">
        <w:trPr>
          <w:cantSplit/>
          <w:trHeight w:val="60"/>
        </w:trPr>
        <w:tc>
          <w:tcPr>
            <w:tcW w:w="1871" w:type="dxa"/>
          </w:tcPr>
          <w:p w14:paraId="066A19B6" w14:textId="77777777" w:rsidR="004A08B3" w:rsidRDefault="004A08B3">
            <w:pPr>
              <w:pStyle w:val="TableSideHeading"/>
            </w:pPr>
          </w:p>
        </w:tc>
        <w:tc>
          <w:tcPr>
            <w:tcW w:w="624" w:type="dxa"/>
          </w:tcPr>
          <w:p w14:paraId="2F691CAE" w14:textId="77777777" w:rsidR="004A08B3" w:rsidRDefault="004A08B3">
            <w:pPr>
              <w:pStyle w:val="TableText"/>
            </w:pPr>
          </w:p>
        </w:tc>
        <w:tc>
          <w:tcPr>
            <w:tcW w:w="624" w:type="dxa"/>
          </w:tcPr>
          <w:p w14:paraId="6E7E1693" w14:textId="77777777" w:rsidR="004A08B3" w:rsidRDefault="004A08B3">
            <w:pPr>
              <w:pStyle w:val="TableText"/>
            </w:pPr>
          </w:p>
        </w:tc>
        <w:tc>
          <w:tcPr>
            <w:tcW w:w="624" w:type="dxa"/>
          </w:tcPr>
          <w:p w14:paraId="7634FDA9" w14:textId="77777777" w:rsidR="004A08B3" w:rsidRDefault="004A08B3">
            <w:pPr>
              <w:pStyle w:val="TableText"/>
            </w:pPr>
            <w:r>
              <w:rPr>
                <w:rFonts w:hint="cs"/>
                <w:rtl/>
              </w:rPr>
              <w:t>(א)</w:t>
            </w:r>
          </w:p>
        </w:tc>
        <w:tc>
          <w:tcPr>
            <w:tcW w:w="5898" w:type="dxa"/>
          </w:tcPr>
          <w:p w14:paraId="69F42AC3" w14:textId="77777777" w:rsidR="004A08B3" w:rsidRDefault="004A08B3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סעיף 64(ב)(2)(א)</w:t>
            </w:r>
            <w:r w:rsidR="002828D4">
              <w:rPr>
                <w:rFonts w:hint="cs"/>
                <w:rtl/>
              </w:rPr>
              <w:t xml:space="preserve">, </w:t>
            </w:r>
            <w:r w:rsidR="009312A9">
              <w:rPr>
                <w:rFonts w:hint="cs"/>
                <w:rtl/>
              </w:rPr>
              <w:t>(ב)(7)</w:t>
            </w:r>
            <w:r w:rsidR="002828D4">
              <w:rPr>
                <w:rFonts w:hint="cs"/>
                <w:rtl/>
              </w:rPr>
              <w:t xml:space="preserve">, </w:t>
            </w:r>
            <w:r w:rsidR="009312A9">
              <w:rPr>
                <w:rFonts w:hint="cs"/>
                <w:rtl/>
              </w:rPr>
              <w:t>(ה)</w:t>
            </w:r>
            <w:r w:rsidR="002828D4">
              <w:rPr>
                <w:rFonts w:hint="cs"/>
                <w:rtl/>
              </w:rPr>
              <w:t>,</w:t>
            </w:r>
            <w:r w:rsidR="001A78C8">
              <w:rPr>
                <w:rFonts w:hint="cs"/>
                <w:rtl/>
              </w:rPr>
              <w:t xml:space="preserve"> </w:t>
            </w:r>
            <w:r w:rsidR="009312A9">
              <w:rPr>
                <w:rFonts w:hint="cs"/>
                <w:rtl/>
              </w:rPr>
              <w:t>(ז)(1)</w:t>
            </w:r>
            <w:r w:rsidR="002828D4">
              <w:rPr>
                <w:rFonts w:hint="cs"/>
                <w:rtl/>
              </w:rPr>
              <w:t>;</w:t>
            </w:r>
          </w:p>
        </w:tc>
      </w:tr>
      <w:tr w:rsidR="009312A9" w14:paraId="69B13948" w14:textId="77777777">
        <w:trPr>
          <w:cantSplit/>
          <w:trHeight w:val="60"/>
        </w:trPr>
        <w:tc>
          <w:tcPr>
            <w:tcW w:w="1871" w:type="dxa"/>
          </w:tcPr>
          <w:p w14:paraId="050883E6" w14:textId="77777777" w:rsidR="009312A9" w:rsidRDefault="009312A9">
            <w:pPr>
              <w:pStyle w:val="TableSideHeading"/>
            </w:pPr>
          </w:p>
        </w:tc>
        <w:tc>
          <w:tcPr>
            <w:tcW w:w="624" w:type="dxa"/>
          </w:tcPr>
          <w:p w14:paraId="32B8CC39" w14:textId="77777777" w:rsidR="009312A9" w:rsidRDefault="009312A9" w:rsidP="009312A9">
            <w:pPr>
              <w:pStyle w:val="TableText"/>
            </w:pPr>
          </w:p>
        </w:tc>
        <w:tc>
          <w:tcPr>
            <w:tcW w:w="624" w:type="dxa"/>
          </w:tcPr>
          <w:p w14:paraId="767F6CFD" w14:textId="77777777" w:rsidR="009312A9" w:rsidRDefault="009312A9">
            <w:pPr>
              <w:pStyle w:val="TableText"/>
            </w:pPr>
          </w:p>
        </w:tc>
        <w:tc>
          <w:tcPr>
            <w:tcW w:w="624" w:type="dxa"/>
          </w:tcPr>
          <w:p w14:paraId="11850E4A" w14:textId="77777777" w:rsidR="009312A9" w:rsidRDefault="00256579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(ב)</w:t>
            </w:r>
          </w:p>
        </w:tc>
        <w:tc>
          <w:tcPr>
            <w:tcW w:w="5898" w:type="dxa"/>
          </w:tcPr>
          <w:p w14:paraId="3881E169" w14:textId="77777777" w:rsidR="009312A9" w:rsidRDefault="002828D4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סעיף 64א(א), (א1), (ב);</w:t>
            </w:r>
          </w:p>
        </w:tc>
      </w:tr>
      <w:tr w:rsidR="002828D4" w14:paraId="15AF6DE1" w14:textId="77777777">
        <w:trPr>
          <w:cantSplit/>
          <w:trHeight w:val="60"/>
        </w:trPr>
        <w:tc>
          <w:tcPr>
            <w:tcW w:w="1871" w:type="dxa"/>
          </w:tcPr>
          <w:p w14:paraId="4EEF6B94" w14:textId="77777777" w:rsidR="002828D4" w:rsidRDefault="002828D4">
            <w:pPr>
              <w:pStyle w:val="TableSideHeading"/>
            </w:pPr>
          </w:p>
        </w:tc>
        <w:tc>
          <w:tcPr>
            <w:tcW w:w="624" w:type="dxa"/>
          </w:tcPr>
          <w:p w14:paraId="51FEE03C" w14:textId="77777777" w:rsidR="002828D4" w:rsidRDefault="002828D4" w:rsidP="002828D4">
            <w:pPr>
              <w:pStyle w:val="TableText"/>
            </w:pPr>
          </w:p>
        </w:tc>
        <w:tc>
          <w:tcPr>
            <w:tcW w:w="624" w:type="dxa"/>
          </w:tcPr>
          <w:p w14:paraId="39ED44F9" w14:textId="77777777" w:rsidR="002828D4" w:rsidRDefault="002828D4">
            <w:pPr>
              <w:pStyle w:val="TableText"/>
            </w:pPr>
          </w:p>
        </w:tc>
        <w:tc>
          <w:tcPr>
            <w:tcW w:w="624" w:type="dxa"/>
          </w:tcPr>
          <w:p w14:paraId="5E7BE2DD" w14:textId="77777777" w:rsidR="002828D4" w:rsidRDefault="002828D4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(ג)</w:t>
            </w:r>
          </w:p>
        </w:tc>
        <w:tc>
          <w:tcPr>
            <w:tcW w:w="5898" w:type="dxa"/>
          </w:tcPr>
          <w:p w14:paraId="51BB3364" w14:textId="77777777" w:rsidR="002828D4" w:rsidRPr="00E66856" w:rsidRDefault="00461A8F">
            <w:pPr>
              <w:pStyle w:val="TableBlock"/>
              <w:rPr>
                <w:rtl/>
              </w:rPr>
            </w:pPr>
            <w:r w:rsidRPr="00E66856">
              <w:rPr>
                <w:rFonts w:hint="cs"/>
                <w:rtl/>
              </w:rPr>
              <w:t>סעיף 66א(א)(2);</w:t>
            </w:r>
          </w:p>
        </w:tc>
      </w:tr>
      <w:tr w:rsidR="00461A8F" w14:paraId="281633B5" w14:textId="77777777">
        <w:trPr>
          <w:cantSplit/>
          <w:trHeight w:val="60"/>
        </w:trPr>
        <w:tc>
          <w:tcPr>
            <w:tcW w:w="1871" w:type="dxa"/>
          </w:tcPr>
          <w:p w14:paraId="06170F75" w14:textId="77777777" w:rsidR="00461A8F" w:rsidRDefault="00461A8F">
            <w:pPr>
              <w:pStyle w:val="TableSideHeading"/>
            </w:pPr>
          </w:p>
        </w:tc>
        <w:tc>
          <w:tcPr>
            <w:tcW w:w="624" w:type="dxa"/>
          </w:tcPr>
          <w:p w14:paraId="3DB8B041" w14:textId="77777777" w:rsidR="00461A8F" w:rsidRDefault="00461A8F" w:rsidP="00461A8F">
            <w:pPr>
              <w:pStyle w:val="TableText"/>
            </w:pPr>
          </w:p>
        </w:tc>
        <w:tc>
          <w:tcPr>
            <w:tcW w:w="624" w:type="dxa"/>
          </w:tcPr>
          <w:p w14:paraId="714E82A7" w14:textId="77777777" w:rsidR="00461A8F" w:rsidRDefault="00461A8F">
            <w:pPr>
              <w:pStyle w:val="TableText"/>
            </w:pPr>
          </w:p>
        </w:tc>
        <w:tc>
          <w:tcPr>
            <w:tcW w:w="624" w:type="dxa"/>
          </w:tcPr>
          <w:p w14:paraId="6BF74716" w14:textId="77777777" w:rsidR="00461A8F" w:rsidRDefault="00461A8F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(ד)</w:t>
            </w:r>
          </w:p>
        </w:tc>
        <w:tc>
          <w:tcPr>
            <w:tcW w:w="5898" w:type="dxa"/>
          </w:tcPr>
          <w:p w14:paraId="086F121A" w14:textId="77777777" w:rsidR="00461A8F" w:rsidRPr="00E66856" w:rsidRDefault="00461A8F">
            <w:pPr>
              <w:pStyle w:val="TableBlock"/>
              <w:rPr>
                <w:rtl/>
              </w:rPr>
            </w:pPr>
            <w:r w:rsidRPr="00E66856">
              <w:rPr>
                <w:rFonts w:hint="cs"/>
                <w:rtl/>
              </w:rPr>
              <w:t>סעיף 85א(ד)(4);</w:t>
            </w:r>
          </w:p>
        </w:tc>
      </w:tr>
      <w:tr w:rsidR="00461A8F" w14:paraId="7C6CA418" w14:textId="77777777">
        <w:trPr>
          <w:cantSplit/>
          <w:trHeight w:val="60"/>
        </w:trPr>
        <w:tc>
          <w:tcPr>
            <w:tcW w:w="1871" w:type="dxa"/>
          </w:tcPr>
          <w:p w14:paraId="76CA6C6F" w14:textId="77777777" w:rsidR="00461A8F" w:rsidRDefault="00461A8F">
            <w:pPr>
              <w:pStyle w:val="TableSideHeading"/>
            </w:pPr>
          </w:p>
        </w:tc>
        <w:tc>
          <w:tcPr>
            <w:tcW w:w="624" w:type="dxa"/>
          </w:tcPr>
          <w:p w14:paraId="4EAEDBAE" w14:textId="77777777" w:rsidR="00461A8F" w:rsidRDefault="00461A8F" w:rsidP="00461A8F">
            <w:pPr>
              <w:pStyle w:val="TableText"/>
            </w:pPr>
          </w:p>
        </w:tc>
        <w:tc>
          <w:tcPr>
            <w:tcW w:w="624" w:type="dxa"/>
          </w:tcPr>
          <w:p w14:paraId="252E77B5" w14:textId="77777777" w:rsidR="00461A8F" w:rsidRDefault="00461A8F">
            <w:pPr>
              <w:pStyle w:val="TableText"/>
            </w:pPr>
          </w:p>
        </w:tc>
        <w:tc>
          <w:tcPr>
            <w:tcW w:w="624" w:type="dxa"/>
          </w:tcPr>
          <w:p w14:paraId="02B317E6" w14:textId="77777777" w:rsidR="00461A8F" w:rsidRDefault="00461A8F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(ה)</w:t>
            </w:r>
          </w:p>
        </w:tc>
        <w:tc>
          <w:tcPr>
            <w:tcW w:w="5898" w:type="dxa"/>
          </w:tcPr>
          <w:p w14:paraId="2BA88E6D" w14:textId="77777777" w:rsidR="00461A8F" w:rsidRPr="00E66856" w:rsidRDefault="00384413">
            <w:pPr>
              <w:pStyle w:val="TableBlock"/>
              <w:rPr>
                <w:rtl/>
              </w:rPr>
            </w:pPr>
            <w:r w:rsidRPr="00E66856">
              <w:rPr>
                <w:rFonts w:hint="cs"/>
                <w:rtl/>
              </w:rPr>
              <w:t>סעיף 85ג(ג)</w:t>
            </w:r>
            <w:r w:rsidR="00EC099A" w:rsidRPr="00E66856">
              <w:rPr>
                <w:rFonts w:hint="cs"/>
                <w:rtl/>
              </w:rPr>
              <w:t>;</w:t>
            </w:r>
          </w:p>
        </w:tc>
      </w:tr>
      <w:tr w:rsidR="00FC007B" w14:paraId="68E9D7ED" w14:textId="77777777">
        <w:trPr>
          <w:cantSplit/>
          <w:trHeight w:val="60"/>
        </w:trPr>
        <w:tc>
          <w:tcPr>
            <w:tcW w:w="1871" w:type="dxa"/>
          </w:tcPr>
          <w:p w14:paraId="6EE01BE9" w14:textId="77777777" w:rsidR="00FC007B" w:rsidRDefault="00FC007B">
            <w:pPr>
              <w:pStyle w:val="TableSideHeading"/>
            </w:pPr>
          </w:p>
        </w:tc>
        <w:tc>
          <w:tcPr>
            <w:tcW w:w="624" w:type="dxa"/>
          </w:tcPr>
          <w:p w14:paraId="269BA8C4" w14:textId="77777777" w:rsidR="00FC007B" w:rsidRDefault="00FC007B" w:rsidP="00FC007B">
            <w:pPr>
              <w:pStyle w:val="TableText"/>
            </w:pPr>
          </w:p>
        </w:tc>
        <w:tc>
          <w:tcPr>
            <w:tcW w:w="624" w:type="dxa"/>
          </w:tcPr>
          <w:p w14:paraId="3CA62911" w14:textId="77777777" w:rsidR="00FC007B" w:rsidRDefault="00FC007B">
            <w:pPr>
              <w:pStyle w:val="TableText"/>
            </w:pPr>
          </w:p>
        </w:tc>
        <w:tc>
          <w:tcPr>
            <w:tcW w:w="624" w:type="dxa"/>
          </w:tcPr>
          <w:p w14:paraId="4D823E0D" w14:textId="77777777" w:rsidR="00FC007B" w:rsidRDefault="00F07844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(ו)</w:t>
            </w:r>
          </w:p>
        </w:tc>
        <w:tc>
          <w:tcPr>
            <w:tcW w:w="5898" w:type="dxa"/>
          </w:tcPr>
          <w:p w14:paraId="18936080" w14:textId="77777777" w:rsidR="00FC007B" w:rsidRPr="00E66856" w:rsidRDefault="00FC007B">
            <w:pPr>
              <w:pStyle w:val="TableBlock"/>
              <w:rPr>
                <w:rtl/>
              </w:rPr>
            </w:pPr>
            <w:r w:rsidRPr="00E66856">
              <w:rPr>
                <w:rFonts w:hint="cs"/>
                <w:rtl/>
              </w:rPr>
              <w:t>סעיף 103ט(ה);</w:t>
            </w:r>
          </w:p>
        </w:tc>
      </w:tr>
      <w:tr w:rsidR="00FC007B" w14:paraId="3C7CA752" w14:textId="77777777">
        <w:trPr>
          <w:cantSplit/>
          <w:trHeight w:val="60"/>
        </w:trPr>
        <w:tc>
          <w:tcPr>
            <w:tcW w:w="1871" w:type="dxa"/>
          </w:tcPr>
          <w:p w14:paraId="6E0D9F99" w14:textId="77777777" w:rsidR="00FC007B" w:rsidRDefault="00FC007B">
            <w:pPr>
              <w:pStyle w:val="TableSideHeading"/>
            </w:pPr>
          </w:p>
        </w:tc>
        <w:tc>
          <w:tcPr>
            <w:tcW w:w="624" w:type="dxa"/>
          </w:tcPr>
          <w:p w14:paraId="1BB09E21" w14:textId="77777777" w:rsidR="00FC007B" w:rsidRDefault="00FC007B" w:rsidP="00FC007B">
            <w:pPr>
              <w:pStyle w:val="TableText"/>
            </w:pPr>
          </w:p>
        </w:tc>
        <w:tc>
          <w:tcPr>
            <w:tcW w:w="624" w:type="dxa"/>
          </w:tcPr>
          <w:p w14:paraId="61AF210B" w14:textId="77777777" w:rsidR="00FC007B" w:rsidRDefault="00FC007B">
            <w:pPr>
              <w:pStyle w:val="TableText"/>
            </w:pPr>
          </w:p>
        </w:tc>
        <w:tc>
          <w:tcPr>
            <w:tcW w:w="624" w:type="dxa"/>
          </w:tcPr>
          <w:p w14:paraId="169380A9" w14:textId="77777777" w:rsidR="00FC007B" w:rsidRDefault="00F07844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(ז)</w:t>
            </w:r>
          </w:p>
        </w:tc>
        <w:tc>
          <w:tcPr>
            <w:tcW w:w="5898" w:type="dxa"/>
          </w:tcPr>
          <w:p w14:paraId="33BB88D2" w14:textId="77777777" w:rsidR="00FC007B" w:rsidRPr="00E66856" w:rsidRDefault="00FC007B">
            <w:pPr>
              <w:pStyle w:val="TableBlock"/>
              <w:rPr>
                <w:rtl/>
              </w:rPr>
            </w:pPr>
            <w:r w:rsidRPr="00E66856">
              <w:rPr>
                <w:rFonts w:hint="cs"/>
                <w:rtl/>
              </w:rPr>
              <w:t>סעיף 103י(ב)(1);</w:t>
            </w:r>
          </w:p>
        </w:tc>
      </w:tr>
      <w:tr w:rsidR="00EC099A" w14:paraId="3D089EB3" w14:textId="77777777">
        <w:trPr>
          <w:cantSplit/>
          <w:trHeight w:val="60"/>
        </w:trPr>
        <w:tc>
          <w:tcPr>
            <w:tcW w:w="1871" w:type="dxa"/>
          </w:tcPr>
          <w:p w14:paraId="152BD620" w14:textId="77777777" w:rsidR="00EC099A" w:rsidRDefault="00EC099A">
            <w:pPr>
              <w:pStyle w:val="TableSideHeading"/>
            </w:pPr>
          </w:p>
        </w:tc>
        <w:tc>
          <w:tcPr>
            <w:tcW w:w="624" w:type="dxa"/>
          </w:tcPr>
          <w:p w14:paraId="4DC23B3A" w14:textId="77777777" w:rsidR="00EC099A" w:rsidRDefault="00EC099A" w:rsidP="00EC099A">
            <w:pPr>
              <w:pStyle w:val="TableText"/>
            </w:pPr>
          </w:p>
        </w:tc>
        <w:tc>
          <w:tcPr>
            <w:tcW w:w="624" w:type="dxa"/>
          </w:tcPr>
          <w:p w14:paraId="2F67035A" w14:textId="77777777" w:rsidR="00EC099A" w:rsidRDefault="00EC099A">
            <w:pPr>
              <w:pStyle w:val="TableText"/>
            </w:pPr>
          </w:p>
        </w:tc>
        <w:tc>
          <w:tcPr>
            <w:tcW w:w="624" w:type="dxa"/>
          </w:tcPr>
          <w:p w14:paraId="1DF86106" w14:textId="77777777" w:rsidR="00EC099A" w:rsidRDefault="00EC099A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0F07844">
              <w:rPr>
                <w:rFonts w:hint="cs"/>
                <w:rtl/>
              </w:rPr>
              <w:t>ח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5898" w:type="dxa"/>
          </w:tcPr>
          <w:p w14:paraId="5CAEE80A" w14:textId="77777777" w:rsidR="00EC099A" w:rsidRPr="00E66856" w:rsidRDefault="00446C7C">
            <w:pPr>
              <w:pStyle w:val="TableBlock"/>
              <w:rPr>
                <w:rtl/>
              </w:rPr>
            </w:pPr>
            <w:r w:rsidRPr="00E66856">
              <w:rPr>
                <w:rFonts w:hint="cs"/>
                <w:rtl/>
              </w:rPr>
              <w:t>סעיף 119א(ב), (ו)- לעניין תקופת 21 הימים הקבועה בו;</w:t>
            </w:r>
          </w:p>
        </w:tc>
      </w:tr>
      <w:tr w:rsidR="00446C7C" w14:paraId="2ABA5759" w14:textId="77777777">
        <w:trPr>
          <w:cantSplit/>
          <w:trHeight w:val="60"/>
        </w:trPr>
        <w:tc>
          <w:tcPr>
            <w:tcW w:w="1871" w:type="dxa"/>
          </w:tcPr>
          <w:p w14:paraId="0EBD156B" w14:textId="77777777" w:rsidR="00446C7C" w:rsidRDefault="00446C7C">
            <w:pPr>
              <w:pStyle w:val="TableSideHeading"/>
            </w:pPr>
          </w:p>
        </w:tc>
        <w:tc>
          <w:tcPr>
            <w:tcW w:w="624" w:type="dxa"/>
          </w:tcPr>
          <w:p w14:paraId="06EB5BED" w14:textId="77777777" w:rsidR="00446C7C" w:rsidRDefault="00446C7C" w:rsidP="00446C7C">
            <w:pPr>
              <w:pStyle w:val="TableText"/>
            </w:pPr>
          </w:p>
        </w:tc>
        <w:tc>
          <w:tcPr>
            <w:tcW w:w="624" w:type="dxa"/>
          </w:tcPr>
          <w:p w14:paraId="0E325377" w14:textId="77777777" w:rsidR="00446C7C" w:rsidRDefault="00446C7C">
            <w:pPr>
              <w:pStyle w:val="TableText"/>
            </w:pPr>
          </w:p>
        </w:tc>
        <w:tc>
          <w:tcPr>
            <w:tcW w:w="624" w:type="dxa"/>
          </w:tcPr>
          <w:p w14:paraId="3BB8B0D5" w14:textId="77777777" w:rsidR="00446C7C" w:rsidRDefault="00AB369F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0F07844">
              <w:rPr>
                <w:rFonts w:hint="cs"/>
                <w:rtl/>
              </w:rPr>
              <w:t>ט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5898" w:type="dxa"/>
          </w:tcPr>
          <w:p w14:paraId="3764A27D" w14:textId="77777777" w:rsidR="00446C7C" w:rsidRDefault="00CD1A71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סעיף 130(א)(2), ד(1) ו-(יא)(2);</w:t>
            </w:r>
          </w:p>
        </w:tc>
      </w:tr>
      <w:tr w:rsidR="005459D1" w14:paraId="3FD07439" w14:textId="77777777">
        <w:trPr>
          <w:cantSplit/>
          <w:trHeight w:val="60"/>
        </w:trPr>
        <w:tc>
          <w:tcPr>
            <w:tcW w:w="1871" w:type="dxa"/>
          </w:tcPr>
          <w:p w14:paraId="49B5C52D" w14:textId="77777777" w:rsidR="005459D1" w:rsidRDefault="005459D1">
            <w:pPr>
              <w:pStyle w:val="TableSideHeading"/>
            </w:pPr>
          </w:p>
        </w:tc>
        <w:tc>
          <w:tcPr>
            <w:tcW w:w="624" w:type="dxa"/>
          </w:tcPr>
          <w:p w14:paraId="5D5A3300" w14:textId="77777777" w:rsidR="005459D1" w:rsidRDefault="005459D1" w:rsidP="005459D1">
            <w:pPr>
              <w:pStyle w:val="TableText"/>
            </w:pPr>
          </w:p>
        </w:tc>
        <w:tc>
          <w:tcPr>
            <w:tcW w:w="624" w:type="dxa"/>
          </w:tcPr>
          <w:p w14:paraId="6863772A" w14:textId="77777777" w:rsidR="005459D1" w:rsidRDefault="005459D1">
            <w:pPr>
              <w:pStyle w:val="TableText"/>
            </w:pPr>
          </w:p>
        </w:tc>
        <w:tc>
          <w:tcPr>
            <w:tcW w:w="624" w:type="dxa"/>
          </w:tcPr>
          <w:p w14:paraId="4ADF833D" w14:textId="77777777" w:rsidR="005459D1" w:rsidRDefault="00E52105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(י)</w:t>
            </w:r>
          </w:p>
        </w:tc>
        <w:tc>
          <w:tcPr>
            <w:tcW w:w="5898" w:type="dxa"/>
          </w:tcPr>
          <w:p w14:paraId="7BBA9419" w14:textId="77777777" w:rsidR="005459D1" w:rsidRDefault="00973E7A">
            <w:pPr>
              <w:pStyle w:val="TableBlock"/>
              <w:rPr>
                <w:rtl/>
              </w:rPr>
            </w:pPr>
            <w:r w:rsidRPr="00E66856">
              <w:rPr>
                <w:rFonts w:hint="cs"/>
                <w:rtl/>
              </w:rPr>
              <w:t>סעיף 131ה(א)(1);</w:t>
            </w:r>
          </w:p>
        </w:tc>
      </w:tr>
      <w:tr w:rsidR="00AB369F" w14:paraId="2049D125" w14:textId="77777777">
        <w:trPr>
          <w:cantSplit/>
          <w:trHeight w:val="60"/>
        </w:trPr>
        <w:tc>
          <w:tcPr>
            <w:tcW w:w="1871" w:type="dxa"/>
          </w:tcPr>
          <w:p w14:paraId="3B079356" w14:textId="77777777" w:rsidR="00AB369F" w:rsidRDefault="00AB369F">
            <w:pPr>
              <w:pStyle w:val="TableSideHeading"/>
            </w:pPr>
          </w:p>
        </w:tc>
        <w:tc>
          <w:tcPr>
            <w:tcW w:w="624" w:type="dxa"/>
          </w:tcPr>
          <w:p w14:paraId="2CAC21E9" w14:textId="77777777" w:rsidR="00AB369F" w:rsidRDefault="00AB369F" w:rsidP="00AB369F">
            <w:pPr>
              <w:pStyle w:val="TableText"/>
            </w:pPr>
          </w:p>
        </w:tc>
        <w:tc>
          <w:tcPr>
            <w:tcW w:w="624" w:type="dxa"/>
          </w:tcPr>
          <w:p w14:paraId="629DAF0D" w14:textId="77777777" w:rsidR="00AB369F" w:rsidRDefault="00AB369F">
            <w:pPr>
              <w:pStyle w:val="TableText"/>
            </w:pPr>
          </w:p>
        </w:tc>
        <w:tc>
          <w:tcPr>
            <w:tcW w:w="624" w:type="dxa"/>
          </w:tcPr>
          <w:p w14:paraId="56516388" w14:textId="77777777" w:rsidR="00AB369F" w:rsidRDefault="00AB369F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0E52105">
              <w:rPr>
                <w:rFonts w:hint="cs"/>
                <w:rtl/>
              </w:rPr>
              <w:t>יא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5898" w:type="dxa"/>
          </w:tcPr>
          <w:p w14:paraId="0B644222" w14:textId="77777777" w:rsidR="00AB369F" w:rsidRDefault="00AB369F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סעיף 145(א)(2)</w:t>
            </w:r>
            <w:r w:rsidR="00C50CC1">
              <w:rPr>
                <w:rFonts w:hint="cs"/>
                <w:rtl/>
              </w:rPr>
              <w:t>,</w:t>
            </w:r>
            <w:r w:rsidR="00C50CC1" w:rsidRPr="00E66856">
              <w:rPr>
                <w:rFonts w:hint="cs"/>
                <w:rtl/>
              </w:rPr>
              <w:t>(3)</w:t>
            </w:r>
            <w:r w:rsidRPr="00E66856">
              <w:rPr>
                <w:rFonts w:hint="cs"/>
                <w:rtl/>
              </w:rPr>
              <w:t>;</w:t>
            </w:r>
          </w:p>
        </w:tc>
      </w:tr>
      <w:tr w:rsidR="00AB369F" w14:paraId="026B5B2B" w14:textId="77777777">
        <w:trPr>
          <w:cantSplit/>
          <w:trHeight w:val="60"/>
        </w:trPr>
        <w:tc>
          <w:tcPr>
            <w:tcW w:w="1871" w:type="dxa"/>
          </w:tcPr>
          <w:p w14:paraId="4AE93429" w14:textId="77777777" w:rsidR="00AB369F" w:rsidRDefault="00AB369F">
            <w:pPr>
              <w:pStyle w:val="TableSideHeading"/>
            </w:pPr>
          </w:p>
        </w:tc>
        <w:tc>
          <w:tcPr>
            <w:tcW w:w="624" w:type="dxa"/>
          </w:tcPr>
          <w:p w14:paraId="6F82D9D1" w14:textId="77777777" w:rsidR="00AB369F" w:rsidRDefault="00AB369F" w:rsidP="00AB369F">
            <w:pPr>
              <w:pStyle w:val="TableText"/>
            </w:pPr>
          </w:p>
        </w:tc>
        <w:tc>
          <w:tcPr>
            <w:tcW w:w="624" w:type="dxa"/>
          </w:tcPr>
          <w:p w14:paraId="09EB075D" w14:textId="77777777" w:rsidR="00AB369F" w:rsidRDefault="00AB369F">
            <w:pPr>
              <w:pStyle w:val="TableText"/>
            </w:pPr>
          </w:p>
        </w:tc>
        <w:tc>
          <w:tcPr>
            <w:tcW w:w="624" w:type="dxa"/>
          </w:tcPr>
          <w:p w14:paraId="18862592" w14:textId="77777777" w:rsidR="00AB369F" w:rsidRDefault="00AB369F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0E52105">
              <w:rPr>
                <w:rFonts w:hint="cs"/>
                <w:rtl/>
              </w:rPr>
              <w:t>יב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5898" w:type="dxa"/>
          </w:tcPr>
          <w:p w14:paraId="6D5C2103" w14:textId="77777777" w:rsidR="00AB369F" w:rsidRDefault="00AB369F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סעיף 145ב(א)(1) רישא- לעניין תקופת 30 הימים הקבועה בו;</w:t>
            </w:r>
          </w:p>
        </w:tc>
      </w:tr>
      <w:tr w:rsidR="00AB369F" w14:paraId="79E0055E" w14:textId="77777777">
        <w:trPr>
          <w:cantSplit/>
          <w:trHeight w:val="60"/>
        </w:trPr>
        <w:tc>
          <w:tcPr>
            <w:tcW w:w="1871" w:type="dxa"/>
          </w:tcPr>
          <w:p w14:paraId="6B952376" w14:textId="77777777" w:rsidR="00AB369F" w:rsidRDefault="00AB369F">
            <w:pPr>
              <w:pStyle w:val="TableSideHeading"/>
            </w:pPr>
          </w:p>
        </w:tc>
        <w:tc>
          <w:tcPr>
            <w:tcW w:w="624" w:type="dxa"/>
          </w:tcPr>
          <w:p w14:paraId="537E5177" w14:textId="77777777" w:rsidR="00AB369F" w:rsidRDefault="00AB369F" w:rsidP="00AB369F">
            <w:pPr>
              <w:pStyle w:val="TableText"/>
            </w:pPr>
          </w:p>
        </w:tc>
        <w:tc>
          <w:tcPr>
            <w:tcW w:w="624" w:type="dxa"/>
          </w:tcPr>
          <w:p w14:paraId="30082CDB" w14:textId="77777777" w:rsidR="00AB369F" w:rsidRDefault="00AB369F">
            <w:pPr>
              <w:pStyle w:val="TableText"/>
            </w:pPr>
          </w:p>
        </w:tc>
        <w:tc>
          <w:tcPr>
            <w:tcW w:w="624" w:type="dxa"/>
          </w:tcPr>
          <w:p w14:paraId="44AD933E" w14:textId="77777777" w:rsidR="00AB369F" w:rsidRDefault="00AB369F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(י</w:t>
            </w:r>
            <w:r w:rsidR="00E52105">
              <w:rPr>
                <w:rFonts w:hint="cs"/>
                <w:rtl/>
              </w:rPr>
              <w:t>ג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5898" w:type="dxa"/>
          </w:tcPr>
          <w:p w14:paraId="51F68884" w14:textId="77777777" w:rsidR="00AB369F" w:rsidRDefault="00A247A3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סעיף 147</w:t>
            </w:r>
            <w:r w:rsidR="000955B3">
              <w:rPr>
                <w:rFonts w:hint="cs"/>
                <w:rtl/>
              </w:rPr>
              <w:t>(א)(2);</w:t>
            </w:r>
          </w:p>
        </w:tc>
      </w:tr>
      <w:tr w:rsidR="003F1AFA" w14:paraId="1DF87B54" w14:textId="77777777">
        <w:trPr>
          <w:cantSplit/>
          <w:trHeight w:val="60"/>
        </w:trPr>
        <w:tc>
          <w:tcPr>
            <w:tcW w:w="1871" w:type="dxa"/>
          </w:tcPr>
          <w:p w14:paraId="223AEA0D" w14:textId="77777777" w:rsidR="003F1AFA" w:rsidRDefault="003F1AFA">
            <w:pPr>
              <w:pStyle w:val="TableSideHeading"/>
            </w:pPr>
          </w:p>
        </w:tc>
        <w:tc>
          <w:tcPr>
            <w:tcW w:w="624" w:type="dxa"/>
          </w:tcPr>
          <w:p w14:paraId="4931B4C9" w14:textId="77777777" w:rsidR="003F1AFA" w:rsidRDefault="003F1AFA" w:rsidP="003F1AFA">
            <w:pPr>
              <w:pStyle w:val="TableText"/>
            </w:pPr>
          </w:p>
        </w:tc>
        <w:tc>
          <w:tcPr>
            <w:tcW w:w="624" w:type="dxa"/>
          </w:tcPr>
          <w:p w14:paraId="12F1687A" w14:textId="77777777" w:rsidR="003F1AFA" w:rsidRDefault="003F1AFA">
            <w:pPr>
              <w:pStyle w:val="TableText"/>
            </w:pPr>
          </w:p>
        </w:tc>
        <w:tc>
          <w:tcPr>
            <w:tcW w:w="624" w:type="dxa"/>
          </w:tcPr>
          <w:p w14:paraId="5241C18C" w14:textId="77777777" w:rsidR="003F1AFA" w:rsidRDefault="003F1AFA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(י</w:t>
            </w:r>
            <w:r w:rsidR="00E52105">
              <w:rPr>
                <w:rFonts w:hint="cs"/>
                <w:rtl/>
              </w:rPr>
              <w:t>ד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5898" w:type="dxa"/>
          </w:tcPr>
          <w:p w14:paraId="3FAAFEA9" w14:textId="77777777" w:rsidR="003F1AFA" w:rsidRDefault="003F1AFA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סעיף 150(א);</w:t>
            </w:r>
          </w:p>
        </w:tc>
      </w:tr>
      <w:tr w:rsidR="000955B3" w14:paraId="11A419F0" w14:textId="77777777">
        <w:trPr>
          <w:cantSplit/>
          <w:trHeight w:val="60"/>
        </w:trPr>
        <w:tc>
          <w:tcPr>
            <w:tcW w:w="1871" w:type="dxa"/>
          </w:tcPr>
          <w:p w14:paraId="60A00880" w14:textId="77777777" w:rsidR="000955B3" w:rsidRDefault="000955B3">
            <w:pPr>
              <w:pStyle w:val="TableSideHeading"/>
            </w:pPr>
          </w:p>
        </w:tc>
        <w:tc>
          <w:tcPr>
            <w:tcW w:w="624" w:type="dxa"/>
          </w:tcPr>
          <w:p w14:paraId="7672FF2C" w14:textId="77777777" w:rsidR="000955B3" w:rsidRDefault="000955B3" w:rsidP="000955B3">
            <w:pPr>
              <w:pStyle w:val="TableText"/>
            </w:pPr>
          </w:p>
        </w:tc>
        <w:tc>
          <w:tcPr>
            <w:tcW w:w="624" w:type="dxa"/>
          </w:tcPr>
          <w:p w14:paraId="34B431AC" w14:textId="77777777" w:rsidR="000955B3" w:rsidRDefault="000955B3">
            <w:pPr>
              <w:pStyle w:val="TableText"/>
            </w:pPr>
          </w:p>
        </w:tc>
        <w:tc>
          <w:tcPr>
            <w:tcW w:w="624" w:type="dxa"/>
          </w:tcPr>
          <w:p w14:paraId="7FE26288" w14:textId="77777777" w:rsidR="000955B3" w:rsidRDefault="003F1AFA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0E52105">
              <w:rPr>
                <w:rFonts w:hint="cs"/>
                <w:rtl/>
              </w:rPr>
              <w:t>טו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5898" w:type="dxa"/>
          </w:tcPr>
          <w:p w14:paraId="2AEAED73" w14:textId="77777777" w:rsidR="000955B3" w:rsidRDefault="003F1AFA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סעיף 152(ג);</w:t>
            </w:r>
          </w:p>
        </w:tc>
      </w:tr>
      <w:tr w:rsidR="00F95166" w14:paraId="3872CB0C" w14:textId="77777777">
        <w:trPr>
          <w:cantSplit/>
          <w:trHeight w:val="60"/>
        </w:trPr>
        <w:tc>
          <w:tcPr>
            <w:tcW w:w="1871" w:type="dxa"/>
          </w:tcPr>
          <w:p w14:paraId="5F83D8C3" w14:textId="77777777" w:rsidR="00F95166" w:rsidRDefault="00F95166">
            <w:pPr>
              <w:pStyle w:val="TableSideHeading"/>
            </w:pPr>
          </w:p>
        </w:tc>
        <w:tc>
          <w:tcPr>
            <w:tcW w:w="624" w:type="dxa"/>
          </w:tcPr>
          <w:p w14:paraId="601FA31B" w14:textId="77777777" w:rsidR="00F95166" w:rsidRDefault="00F95166" w:rsidP="00F95166">
            <w:pPr>
              <w:pStyle w:val="TableText"/>
            </w:pPr>
          </w:p>
        </w:tc>
        <w:tc>
          <w:tcPr>
            <w:tcW w:w="624" w:type="dxa"/>
          </w:tcPr>
          <w:p w14:paraId="38C11CB9" w14:textId="77777777" w:rsidR="00F95166" w:rsidRDefault="00F95166">
            <w:pPr>
              <w:pStyle w:val="TableText"/>
            </w:pPr>
          </w:p>
        </w:tc>
        <w:tc>
          <w:tcPr>
            <w:tcW w:w="624" w:type="dxa"/>
          </w:tcPr>
          <w:p w14:paraId="6377BDD8" w14:textId="77777777" w:rsidR="00F95166" w:rsidRDefault="00F95166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(ט</w:t>
            </w:r>
            <w:r w:rsidR="00E52105">
              <w:rPr>
                <w:rFonts w:hint="cs"/>
                <w:rtl/>
              </w:rPr>
              <w:t>ז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5898" w:type="dxa"/>
          </w:tcPr>
          <w:p w14:paraId="03BB031B" w14:textId="77777777" w:rsidR="00F95166" w:rsidRDefault="00F95166">
            <w:pPr>
              <w:pStyle w:val="TableBlock"/>
              <w:rPr>
                <w:rtl/>
              </w:rPr>
            </w:pPr>
            <w:r w:rsidRPr="00E66856">
              <w:rPr>
                <w:rFonts w:hint="cs"/>
                <w:rtl/>
              </w:rPr>
              <w:t>סעיף 160(א)</w:t>
            </w:r>
            <w:r w:rsidR="00B84D2C" w:rsidRPr="00E66856">
              <w:rPr>
                <w:rFonts w:hint="cs"/>
                <w:rtl/>
              </w:rPr>
              <w:t xml:space="preserve"> לעניין תקופת שש השנים הקבועה בו</w:t>
            </w:r>
            <w:r w:rsidR="00900BFA">
              <w:rPr>
                <w:rFonts w:hint="cs"/>
                <w:rtl/>
              </w:rPr>
              <w:t>;</w:t>
            </w:r>
          </w:p>
        </w:tc>
      </w:tr>
      <w:tr w:rsidR="003F1AFA" w14:paraId="5EE9AE34" w14:textId="77777777">
        <w:trPr>
          <w:cantSplit/>
          <w:trHeight w:val="60"/>
        </w:trPr>
        <w:tc>
          <w:tcPr>
            <w:tcW w:w="1871" w:type="dxa"/>
          </w:tcPr>
          <w:p w14:paraId="26E45398" w14:textId="77777777" w:rsidR="003F1AFA" w:rsidRDefault="003F1AFA">
            <w:pPr>
              <w:pStyle w:val="TableSideHeading"/>
            </w:pPr>
          </w:p>
        </w:tc>
        <w:tc>
          <w:tcPr>
            <w:tcW w:w="624" w:type="dxa"/>
          </w:tcPr>
          <w:p w14:paraId="2067A598" w14:textId="77777777" w:rsidR="003F1AFA" w:rsidRDefault="003F1AFA" w:rsidP="003F1AFA">
            <w:pPr>
              <w:pStyle w:val="TableText"/>
            </w:pPr>
          </w:p>
        </w:tc>
        <w:tc>
          <w:tcPr>
            <w:tcW w:w="624" w:type="dxa"/>
          </w:tcPr>
          <w:p w14:paraId="4348749C" w14:textId="77777777" w:rsidR="003F1AFA" w:rsidRDefault="003F1AFA">
            <w:pPr>
              <w:pStyle w:val="TableText"/>
            </w:pPr>
          </w:p>
        </w:tc>
        <w:tc>
          <w:tcPr>
            <w:tcW w:w="624" w:type="dxa"/>
          </w:tcPr>
          <w:p w14:paraId="4DAE6DF2" w14:textId="77777777" w:rsidR="003F1AFA" w:rsidRDefault="003F1AFA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0E52105">
              <w:rPr>
                <w:rFonts w:hint="cs"/>
                <w:rtl/>
              </w:rPr>
              <w:t>יז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5898" w:type="dxa"/>
          </w:tcPr>
          <w:p w14:paraId="37BCBE9F" w14:textId="77777777" w:rsidR="003F1AFA" w:rsidRDefault="003F1AFA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סעיף 167(א);</w:t>
            </w:r>
          </w:p>
        </w:tc>
      </w:tr>
      <w:tr w:rsidR="003F1AFA" w14:paraId="3BBEA750" w14:textId="77777777">
        <w:trPr>
          <w:cantSplit/>
          <w:trHeight w:val="60"/>
        </w:trPr>
        <w:tc>
          <w:tcPr>
            <w:tcW w:w="1871" w:type="dxa"/>
          </w:tcPr>
          <w:p w14:paraId="45CCF5EE" w14:textId="77777777" w:rsidR="003F1AFA" w:rsidRDefault="003F1AFA">
            <w:pPr>
              <w:pStyle w:val="TableSideHeading"/>
            </w:pPr>
          </w:p>
        </w:tc>
        <w:tc>
          <w:tcPr>
            <w:tcW w:w="624" w:type="dxa"/>
          </w:tcPr>
          <w:p w14:paraId="63037AA9" w14:textId="77777777" w:rsidR="003F1AFA" w:rsidRDefault="003F1AFA" w:rsidP="003F1AFA">
            <w:pPr>
              <w:pStyle w:val="TableText"/>
            </w:pPr>
          </w:p>
        </w:tc>
        <w:tc>
          <w:tcPr>
            <w:tcW w:w="624" w:type="dxa"/>
          </w:tcPr>
          <w:p w14:paraId="17857F03" w14:textId="77777777" w:rsidR="003F1AFA" w:rsidRDefault="003F1AFA">
            <w:pPr>
              <w:pStyle w:val="TableText"/>
            </w:pPr>
          </w:p>
        </w:tc>
        <w:tc>
          <w:tcPr>
            <w:tcW w:w="624" w:type="dxa"/>
          </w:tcPr>
          <w:p w14:paraId="776652DB" w14:textId="77777777" w:rsidR="003F1AFA" w:rsidRDefault="003F1AFA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0F95166">
              <w:rPr>
                <w:rFonts w:hint="cs"/>
                <w:rtl/>
              </w:rPr>
              <w:t>י</w:t>
            </w:r>
            <w:r w:rsidR="00E52105">
              <w:rPr>
                <w:rFonts w:hint="cs"/>
                <w:rtl/>
              </w:rPr>
              <w:t>ח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5898" w:type="dxa"/>
          </w:tcPr>
          <w:p w14:paraId="2B858150" w14:textId="77777777" w:rsidR="003F1AFA" w:rsidRDefault="003F1AFA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סעיף 168</w:t>
            </w:r>
            <w:r w:rsidR="001B38AA">
              <w:rPr>
                <w:rFonts w:hint="cs"/>
                <w:rtl/>
              </w:rPr>
              <w:t>- לעניין תקופת השבועיים הקבועה בו</w:t>
            </w:r>
            <w:r w:rsidR="000C0CB1">
              <w:rPr>
                <w:rFonts w:hint="cs"/>
                <w:rtl/>
              </w:rPr>
              <w:t>;</w:t>
            </w:r>
          </w:p>
        </w:tc>
      </w:tr>
      <w:tr w:rsidR="005E69B9" w14:paraId="23EC3DA8" w14:textId="77777777">
        <w:trPr>
          <w:cantSplit/>
          <w:trHeight w:val="60"/>
        </w:trPr>
        <w:tc>
          <w:tcPr>
            <w:tcW w:w="1871" w:type="dxa"/>
          </w:tcPr>
          <w:p w14:paraId="1C258C52" w14:textId="77777777" w:rsidR="005E69B9" w:rsidRDefault="005E69B9">
            <w:pPr>
              <w:pStyle w:val="TableSideHeading"/>
            </w:pPr>
          </w:p>
        </w:tc>
        <w:tc>
          <w:tcPr>
            <w:tcW w:w="624" w:type="dxa"/>
          </w:tcPr>
          <w:p w14:paraId="6784DA9D" w14:textId="77777777" w:rsidR="005E69B9" w:rsidRDefault="005E69B9">
            <w:pPr>
              <w:pStyle w:val="TableText"/>
            </w:pPr>
          </w:p>
        </w:tc>
        <w:tc>
          <w:tcPr>
            <w:tcW w:w="624" w:type="dxa"/>
          </w:tcPr>
          <w:p w14:paraId="6EC3950B" w14:textId="77777777" w:rsidR="005E69B9" w:rsidRDefault="005E69B9">
            <w:pPr>
              <w:pStyle w:val="TableText"/>
            </w:pPr>
            <w:r>
              <w:rPr>
                <w:rFonts w:hint="cs"/>
                <w:rtl/>
              </w:rPr>
              <w:t>(2)</w:t>
            </w:r>
          </w:p>
        </w:tc>
        <w:tc>
          <w:tcPr>
            <w:tcW w:w="6522" w:type="dxa"/>
            <w:gridSpan w:val="2"/>
          </w:tcPr>
          <w:p w14:paraId="6039C94B" w14:textId="77777777" w:rsidR="005E69B9" w:rsidRDefault="005E69B9">
            <w:pPr>
              <w:pStyle w:val="TableBlock"/>
            </w:pPr>
            <w:r>
              <w:rPr>
                <w:rFonts w:hint="cs"/>
                <w:rtl/>
              </w:rPr>
              <w:t>בחוק מס ערך מוסף, התשל"ו-197</w:t>
            </w:r>
            <w:r w:rsidR="003438E0">
              <w:rPr>
                <w:rFonts w:hint="cs"/>
                <w:rtl/>
              </w:rPr>
              <w:t>5</w:t>
            </w:r>
            <w:r w:rsidR="00F07844">
              <w:rPr>
                <w:rStyle w:val="a7"/>
                <w:rtl/>
              </w:rPr>
              <w:footnoteReference w:id="2"/>
            </w:r>
            <w:r>
              <w:rPr>
                <w:rFonts w:hint="cs"/>
                <w:rtl/>
              </w:rPr>
              <w:t>:</w:t>
            </w:r>
          </w:p>
        </w:tc>
      </w:tr>
      <w:tr w:rsidR="005E69B9" w14:paraId="0874CB77" w14:textId="77777777">
        <w:trPr>
          <w:cantSplit/>
          <w:trHeight w:val="60"/>
        </w:trPr>
        <w:tc>
          <w:tcPr>
            <w:tcW w:w="1871" w:type="dxa"/>
          </w:tcPr>
          <w:p w14:paraId="39060FBA" w14:textId="77777777" w:rsidR="005E69B9" w:rsidRDefault="005E69B9">
            <w:pPr>
              <w:pStyle w:val="TableSideHeading"/>
            </w:pPr>
          </w:p>
        </w:tc>
        <w:tc>
          <w:tcPr>
            <w:tcW w:w="624" w:type="dxa"/>
          </w:tcPr>
          <w:p w14:paraId="3896272A" w14:textId="77777777" w:rsidR="005E69B9" w:rsidRDefault="005E69B9">
            <w:pPr>
              <w:pStyle w:val="TableText"/>
            </w:pPr>
          </w:p>
        </w:tc>
        <w:tc>
          <w:tcPr>
            <w:tcW w:w="624" w:type="dxa"/>
          </w:tcPr>
          <w:p w14:paraId="736952DE" w14:textId="77777777" w:rsidR="005E69B9" w:rsidRDefault="005E69B9">
            <w:pPr>
              <w:pStyle w:val="TableText"/>
            </w:pPr>
          </w:p>
        </w:tc>
        <w:tc>
          <w:tcPr>
            <w:tcW w:w="624" w:type="dxa"/>
          </w:tcPr>
          <w:p w14:paraId="2A9CFBF8" w14:textId="77777777" w:rsidR="005E69B9" w:rsidRDefault="003210FF">
            <w:pPr>
              <w:pStyle w:val="TableText"/>
            </w:pPr>
            <w:r>
              <w:rPr>
                <w:rFonts w:hint="cs"/>
                <w:rtl/>
              </w:rPr>
              <w:t>(א)</w:t>
            </w:r>
          </w:p>
        </w:tc>
        <w:tc>
          <w:tcPr>
            <w:tcW w:w="5898" w:type="dxa"/>
          </w:tcPr>
          <w:p w14:paraId="637B3388" w14:textId="77777777" w:rsidR="005E69B9" w:rsidRDefault="003210FF">
            <w:pPr>
              <w:pStyle w:val="TableBlock"/>
            </w:pPr>
            <w:r>
              <w:rPr>
                <w:rFonts w:hint="cs"/>
                <w:rtl/>
              </w:rPr>
              <w:t>סעיף 39(א)(1)- לעניין תקופת 90 הימים הקבועה בו;</w:t>
            </w:r>
            <w:r w:rsidR="009466B6">
              <w:rPr>
                <w:rFonts w:hint="cs"/>
                <w:rtl/>
              </w:rPr>
              <w:t xml:space="preserve"> </w:t>
            </w:r>
            <w:r w:rsidR="00867709">
              <w:rPr>
                <w:rFonts w:hint="cs"/>
                <w:rtl/>
              </w:rPr>
              <w:t>(א)(2)- לעניין תקופת 180 הימים הקבועה בו;</w:t>
            </w:r>
          </w:p>
        </w:tc>
      </w:tr>
      <w:tr w:rsidR="003210FF" w14:paraId="1EC08366" w14:textId="77777777">
        <w:trPr>
          <w:cantSplit/>
          <w:trHeight w:val="60"/>
        </w:trPr>
        <w:tc>
          <w:tcPr>
            <w:tcW w:w="1871" w:type="dxa"/>
          </w:tcPr>
          <w:p w14:paraId="03AE4CA8" w14:textId="77777777" w:rsidR="003210FF" w:rsidRDefault="003210FF">
            <w:pPr>
              <w:pStyle w:val="TableSideHeading"/>
            </w:pPr>
          </w:p>
        </w:tc>
        <w:tc>
          <w:tcPr>
            <w:tcW w:w="624" w:type="dxa"/>
          </w:tcPr>
          <w:p w14:paraId="50BF73E4" w14:textId="77777777" w:rsidR="003210FF" w:rsidRDefault="003210FF" w:rsidP="003210FF">
            <w:pPr>
              <w:pStyle w:val="TableText"/>
            </w:pPr>
          </w:p>
        </w:tc>
        <w:tc>
          <w:tcPr>
            <w:tcW w:w="624" w:type="dxa"/>
          </w:tcPr>
          <w:p w14:paraId="5BCDC7C5" w14:textId="77777777" w:rsidR="003210FF" w:rsidRDefault="003210FF">
            <w:pPr>
              <w:pStyle w:val="TableText"/>
            </w:pPr>
          </w:p>
        </w:tc>
        <w:tc>
          <w:tcPr>
            <w:tcW w:w="624" w:type="dxa"/>
          </w:tcPr>
          <w:p w14:paraId="0075B786" w14:textId="77777777" w:rsidR="003210FF" w:rsidRDefault="00A0500F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(ב)</w:t>
            </w:r>
          </w:p>
        </w:tc>
        <w:tc>
          <w:tcPr>
            <w:tcW w:w="5898" w:type="dxa"/>
          </w:tcPr>
          <w:p w14:paraId="3F0E32D2" w14:textId="77777777" w:rsidR="003210FF" w:rsidRDefault="00867709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סעיף 64(ב);</w:t>
            </w:r>
          </w:p>
        </w:tc>
      </w:tr>
      <w:tr w:rsidR="001645D9" w14:paraId="4299C323" w14:textId="77777777">
        <w:trPr>
          <w:cantSplit/>
          <w:trHeight w:val="60"/>
        </w:trPr>
        <w:tc>
          <w:tcPr>
            <w:tcW w:w="1871" w:type="dxa"/>
          </w:tcPr>
          <w:p w14:paraId="5A7DAE94" w14:textId="77777777" w:rsidR="001645D9" w:rsidRDefault="001645D9">
            <w:pPr>
              <w:pStyle w:val="TableSideHeading"/>
            </w:pPr>
          </w:p>
        </w:tc>
        <w:tc>
          <w:tcPr>
            <w:tcW w:w="624" w:type="dxa"/>
          </w:tcPr>
          <w:p w14:paraId="229F4B65" w14:textId="77777777" w:rsidR="001645D9" w:rsidRDefault="001645D9" w:rsidP="001645D9">
            <w:pPr>
              <w:pStyle w:val="TableText"/>
            </w:pPr>
          </w:p>
        </w:tc>
        <w:tc>
          <w:tcPr>
            <w:tcW w:w="624" w:type="dxa"/>
          </w:tcPr>
          <w:p w14:paraId="541C1D2F" w14:textId="77777777" w:rsidR="001645D9" w:rsidRDefault="001645D9">
            <w:pPr>
              <w:pStyle w:val="TableText"/>
            </w:pPr>
          </w:p>
        </w:tc>
        <w:tc>
          <w:tcPr>
            <w:tcW w:w="624" w:type="dxa"/>
          </w:tcPr>
          <w:p w14:paraId="55987674" w14:textId="77777777" w:rsidR="001645D9" w:rsidRDefault="00A0500F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(ג)</w:t>
            </w:r>
          </w:p>
        </w:tc>
        <w:tc>
          <w:tcPr>
            <w:tcW w:w="5898" w:type="dxa"/>
          </w:tcPr>
          <w:p w14:paraId="55052CEF" w14:textId="77777777" w:rsidR="001645D9" w:rsidRDefault="001645D9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סעיף 77(ב);</w:t>
            </w:r>
          </w:p>
        </w:tc>
      </w:tr>
      <w:tr w:rsidR="001645D9" w14:paraId="455DA98A" w14:textId="77777777">
        <w:trPr>
          <w:cantSplit/>
          <w:trHeight w:val="60"/>
        </w:trPr>
        <w:tc>
          <w:tcPr>
            <w:tcW w:w="1871" w:type="dxa"/>
          </w:tcPr>
          <w:p w14:paraId="1FDFE84A" w14:textId="77777777" w:rsidR="001645D9" w:rsidRDefault="001645D9">
            <w:pPr>
              <w:pStyle w:val="TableSideHeading"/>
            </w:pPr>
          </w:p>
        </w:tc>
        <w:tc>
          <w:tcPr>
            <w:tcW w:w="624" w:type="dxa"/>
          </w:tcPr>
          <w:p w14:paraId="6BDF18CD" w14:textId="77777777" w:rsidR="001645D9" w:rsidRDefault="001645D9" w:rsidP="001645D9">
            <w:pPr>
              <w:pStyle w:val="TableText"/>
            </w:pPr>
          </w:p>
        </w:tc>
        <w:tc>
          <w:tcPr>
            <w:tcW w:w="624" w:type="dxa"/>
          </w:tcPr>
          <w:p w14:paraId="68C759F8" w14:textId="77777777" w:rsidR="001645D9" w:rsidRDefault="001645D9">
            <w:pPr>
              <w:pStyle w:val="TableText"/>
            </w:pPr>
          </w:p>
        </w:tc>
        <w:tc>
          <w:tcPr>
            <w:tcW w:w="624" w:type="dxa"/>
          </w:tcPr>
          <w:p w14:paraId="42D375B5" w14:textId="77777777" w:rsidR="001645D9" w:rsidRDefault="00A0500F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(ד)</w:t>
            </w:r>
          </w:p>
        </w:tc>
        <w:tc>
          <w:tcPr>
            <w:tcW w:w="5898" w:type="dxa"/>
          </w:tcPr>
          <w:p w14:paraId="455768D6" w14:textId="77777777" w:rsidR="001645D9" w:rsidRDefault="001645D9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סעיף 79(א) ו-(ב);</w:t>
            </w:r>
          </w:p>
        </w:tc>
      </w:tr>
      <w:tr w:rsidR="001645D9" w14:paraId="2F6F0D1A" w14:textId="77777777">
        <w:trPr>
          <w:cantSplit/>
          <w:trHeight w:val="60"/>
        </w:trPr>
        <w:tc>
          <w:tcPr>
            <w:tcW w:w="1871" w:type="dxa"/>
          </w:tcPr>
          <w:p w14:paraId="353DFE22" w14:textId="77777777" w:rsidR="001645D9" w:rsidRDefault="001645D9">
            <w:pPr>
              <w:pStyle w:val="TableSideHeading"/>
            </w:pPr>
          </w:p>
        </w:tc>
        <w:tc>
          <w:tcPr>
            <w:tcW w:w="624" w:type="dxa"/>
          </w:tcPr>
          <w:p w14:paraId="264B2084" w14:textId="77777777" w:rsidR="001645D9" w:rsidRDefault="001645D9" w:rsidP="001645D9">
            <w:pPr>
              <w:pStyle w:val="TableText"/>
            </w:pPr>
          </w:p>
        </w:tc>
        <w:tc>
          <w:tcPr>
            <w:tcW w:w="624" w:type="dxa"/>
          </w:tcPr>
          <w:p w14:paraId="2B2B2A57" w14:textId="77777777" w:rsidR="001645D9" w:rsidRDefault="001645D9">
            <w:pPr>
              <w:pStyle w:val="TableText"/>
            </w:pPr>
          </w:p>
        </w:tc>
        <w:tc>
          <w:tcPr>
            <w:tcW w:w="624" w:type="dxa"/>
          </w:tcPr>
          <w:p w14:paraId="320422E6" w14:textId="77777777" w:rsidR="001645D9" w:rsidRDefault="00A0500F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(ה)</w:t>
            </w:r>
          </w:p>
        </w:tc>
        <w:tc>
          <w:tcPr>
            <w:tcW w:w="5898" w:type="dxa"/>
          </w:tcPr>
          <w:p w14:paraId="63BB9C7B" w14:textId="77777777" w:rsidR="001645D9" w:rsidRDefault="001645D9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סעיף 82(א) ו- (ד);</w:t>
            </w:r>
          </w:p>
        </w:tc>
      </w:tr>
      <w:tr w:rsidR="001645D9" w14:paraId="788CDBDC" w14:textId="77777777">
        <w:trPr>
          <w:cantSplit/>
          <w:trHeight w:val="60"/>
        </w:trPr>
        <w:tc>
          <w:tcPr>
            <w:tcW w:w="1871" w:type="dxa"/>
          </w:tcPr>
          <w:p w14:paraId="52565FEF" w14:textId="77777777" w:rsidR="001645D9" w:rsidRDefault="001645D9">
            <w:pPr>
              <w:pStyle w:val="TableSideHeading"/>
            </w:pPr>
          </w:p>
        </w:tc>
        <w:tc>
          <w:tcPr>
            <w:tcW w:w="624" w:type="dxa"/>
          </w:tcPr>
          <w:p w14:paraId="56AB2439" w14:textId="77777777" w:rsidR="001645D9" w:rsidRDefault="001645D9" w:rsidP="001645D9">
            <w:pPr>
              <w:pStyle w:val="TableText"/>
            </w:pPr>
          </w:p>
        </w:tc>
        <w:tc>
          <w:tcPr>
            <w:tcW w:w="624" w:type="dxa"/>
          </w:tcPr>
          <w:p w14:paraId="7E9974B9" w14:textId="77777777" w:rsidR="001645D9" w:rsidRDefault="001645D9">
            <w:pPr>
              <w:pStyle w:val="TableText"/>
            </w:pPr>
          </w:p>
        </w:tc>
        <w:tc>
          <w:tcPr>
            <w:tcW w:w="624" w:type="dxa"/>
          </w:tcPr>
          <w:p w14:paraId="601FCB20" w14:textId="77777777" w:rsidR="001645D9" w:rsidRDefault="00A0500F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(ו)</w:t>
            </w:r>
          </w:p>
        </w:tc>
        <w:tc>
          <w:tcPr>
            <w:tcW w:w="5898" w:type="dxa"/>
          </w:tcPr>
          <w:p w14:paraId="3EC07672" w14:textId="77777777" w:rsidR="001645D9" w:rsidRDefault="001645D9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 xml:space="preserve">סעיף 95(ב), </w:t>
            </w:r>
            <w:r w:rsidRPr="00042588">
              <w:rPr>
                <w:rFonts w:hint="cs"/>
                <w:rtl/>
              </w:rPr>
              <w:t>למעט ערעור על</w:t>
            </w:r>
            <w:r w:rsidR="00322AA2">
              <w:rPr>
                <w:rFonts w:hint="cs"/>
                <w:rtl/>
              </w:rPr>
              <w:t xml:space="preserve"> החלטת </w:t>
            </w:r>
            <w:r w:rsidR="003C7851">
              <w:rPr>
                <w:rFonts w:hint="cs"/>
                <w:rtl/>
              </w:rPr>
              <w:t xml:space="preserve">המנהל </w:t>
            </w:r>
            <w:r w:rsidRPr="00791F7B">
              <w:rPr>
                <w:rFonts w:hint="cs"/>
                <w:rtl/>
              </w:rPr>
              <w:t>שניתנה בשל ניהול פנקסי חשבונות או רשומות בסטייה מהותית;</w:t>
            </w:r>
          </w:p>
        </w:tc>
      </w:tr>
      <w:tr w:rsidR="00FC007B" w14:paraId="0E8EF8F5" w14:textId="77777777">
        <w:trPr>
          <w:cantSplit/>
          <w:trHeight w:val="60"/>
        </w:trPr>
        <w:tc>
          <w:tcPr>
            <w:tcW w:w="1871" w:type="dxa"/>
          </w:tcPr>
          <w:p w14:paraId="4EDB8F11" w14:textId="77777777" w:rsidR="00FC007B" w:rsidRDefault="00FC007B">
            <w:pPr>
              <w:pStyle w:val="TableSideHeading"/>
            </w:pPr>
          </w:p>
        </w:tc>
        <w:tc>
          <w:tcPr>
            <w:tcW w:w="624" w:type="dxa"/>
          </w:tcPr>
          <w:p w14:paraId="580C5AA9" w14:textId="77777777" w:rsidR="00FC007B" w:rsidRDefault="00FC007B" w:rsidP="00FC007B">
            <w:pPr>
              <w:pStyle w:val="TableText"/>
            </w:pPr>
          </w:p>
        </w:tc>
        <w:tc>
          <w:tcPr>
            <w:tcW w:w="624" w:type="dxa"/>
          </w:tcPr>
          <w:p w14:paraId="6CFEFD47" w14:textId="77777777" w:rsidR="00FC007B" w:rsidRDefault="00FC007B">
            <w:pPr>
              <w:pStyle w:val="TableText"/>
            </w:pPr>
          </w:p>
        </w:tc>
        <w:tc>
          <w:tcPr>
            <w:tcW w:w="624" w:type="dxa"/>
          </w:tcPr>
          <w:p w14:paraId="0D477E9D" w14:textId="77777777" w:rsidR="00FC007B" w:rsidRDefault="00FC00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(ז)</w:t>
            </w:r>
          </w:p>
        </w:tc>
        <w:tc>
          <w:tcPr>
            <w:tcW w:w="5898" w:type="dxa"/>
          </w:tcPr>
          <w:p w14:paraId="0AD0FD38" w14:textId="77777777" w:rsidR="00FC007B" w:rsidRDefault="00FC007B">
            <w:pPr>
              <w:pStyle w:val="TableBlock"/>
              <w:rPr>
                <w:rtl/>
              </w:rPr>
            </w:pPr>
            <w:r w:rsidRPr="00E66856">
              <w:rPr>
                <w:rFonts w:hint="cs"/>
                <w:rtl/>
              </w:rPr>
              <w:t>סעיף 106(ב)(2);</w:t>
            </w:r>
          </w:p>
        </w:tc>
      </w:tr>
      <w:tr w:rsidR="001645D9" w14:paraId="120C0388" w14:textId="77777777">
        <w:trPr>
          <w:cantSplit/>
          <w:trHeight w:val="60"/>
        </w:trPr>
        <w:tc>
          <w:tcPr>
            <w:tcW w:w="1871" w:type="dxa"/>
          </w:tcPr>
          <w:p w14:paraId="1DF1778B" w14:textId="77777777" w:rsidR="001645D9" w:rsidRDefault="001645D9">
            <w:pPr>
              <w:pStyle w:val="TableSideHeading"/>
            </w:pPr>
          </w:p>
        </w:tc>
        <w:tc>
          <w:tcPr>
            <w:tcW w:w="624" w:type="dxa"/>
          </w:tcPr>
          <w:p w14:paraId="5383CD3C" w14:textId="77777777" w:rsidR="001645D9" w:rsidRDefault="001645D9" w:rsidP="001645D9">
            <w:pPr>
              <w:pStyle w:val="TableText"/>
            </w:pPr>
          </w:p>
        </w:tc>
        <w:tc>
          <w:tcPr>
            <w:tcW w:w="624" w:type="dxa"/>
          </w:tcPr>
          <w:p w14:paraId="02656A6A" w14:textId="77777777" w:rsidR="001645D9" w:rsidRDefault="001645D9">
            <w:pPr>
              <w:pStyle w:val="TableText"/>
            </w:pPr>
          </w:p>
        </w:tc>
        <w:tc>
          <w:tcPr>
            <w:tcW w:w="624" w:type="dxa"/>
          </w:tcPr>
          <w:p w14:paraId="07B02267" w14:textId="77777777" w:rsidR="001645D9" w:rsidRDefault="00B34774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0FC007B">
              <w:rPr>
                <w:rFonts w:hint="cs"/>
                <w:rtl/>
              </w:rPr>
              <w:t>ח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5898" w:type="dxa"/>
          </w:tcPr>
          <w:p w14:paraId="0B247E40" w14:textId="77777777" w:rsidR="001645D9" w:rsidRDefault="00904FED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סעיף 113;</w:t>
            </w:r>
          </w:p>
        </w:tc>
      </w:tr>
      <w:tr w:rsidR="001337A1" w14:paraId="684ACB54" w14:textId="77777777">
        <w:trPr>
          <w:cantSplit/>
          <w:trHeight w:val="60"/>
        </w:trPr>
        <w:tc>
          <w:tcPr>
            <w:tcW w:w="1871" w:type="dxa"/>
          </w:tcPr>
          <w:p w14:paraId="71F03C04" w14:textId="77777777" w:rsidR="001337A1" w:rsidRDefault="001337A1">
            <w:pPr>
              <w:pStyle w:val="TableSideHeading"/>
            </w:pPr>
          </w:p>
        </w:tc>
        <w:tc>
          <w:tcPr>
            <w:tcW w:w="624" w:type="dxa"/>
          </w:tcPr>
          <w:p w14:paraId="283B66EE" w14:textId="77777777" w:rsidR="001337A1" w:rsidRDefault="001337A1">
            <w:pPr>
              <w:pStyle w:val="TableText"/>
            </w:pPr>
          </w:p>
        </w:tc>
        <w:tc>
          <w:tcPr>
            <w:tcW w:w="624" w:type="dxa"/>
          </w:tcPr>
          <w:p w14:paraId="09E88D82" w14:textId="77777777" w:rsidR="001337A1" w:rsidRDefault="001337A1">
            <w:pPr>
              <w:pStyle w:val="TableText"/>
            </w:pPr>
            <w:r>
              <w:rPr>
                <w:rFonts w:hint="cs"/>
                <w:rtl/>
              </w:rPr>
              <w:t>(3)</w:t>
            </w:r>
          </w:p>
        </w:tc>
        <w:tc>
          <w:tcPr>
            <w:tcW w:w="6522" w:type="dxa"/>
            <w:gridSpan w:val="2"/>
          </w:tcPr>
          <w:p w14:paraId="39896DEC" w14:textId="77777777" w:rsidR="001337A1" w:rsidRDefault="001337A1">
            <w:pPr>
              <w:pStyle w:val="TableBlock"/>
            </w:pPr>
            <w:r>
              <w:rPr>
                <w:rFonts w:hint="cs"/>
                <w:rtl/>
              </w:rPr>
              <w:t>בפקודת המכס</w:t>
            </w:r>
            <w:r w:rsidR="007540BC">
              <w:rPr>
                <w:rFonts w:hint="cs"/>
                <w:rtl/>
              </w:rPr>
              <w:t>- סעיף 190</w:t>
            </w:r>
            <w:r w:rsidR="00E13214">
              <w:rPr>
                <w:rStyle w:val="a7"/>
                <w:rtl/>
              </w:rPr>
              <w:footnoteReference w:id="3"/>
            </w:r>
            <w:r w:rsidR="00F41F13">
              <w:rPr>
                <w:rFonts w:hint="cs"/>
                <w:rtl/>
              </w:rPr>
              <w:t>;</w:t>
            </w:r>
          </w:p>
        </w:tc>
      </w:tr>
      <w:tr w:rsidR="002068AF" w14:paraId="26BEB5A5" w14:textId="77777777">
        <w:trPr>
          <w:cantSplit/>
          <w:trHeight w:val="60"/>
        </w:trPr>
        <w:tc>
          <w:tcPr>
            <w:tcW w:w="1871" w:type="dxa"/>
          </w:tcPr>
          <w:p w14:paraId="18673221" w14:textId="77777777" w:rsidR="002068AF" w:rsidRDefault="002068AF">
            <w:pPr>
              <w:pStyle w:val="TableSideHeading"/>
            </w:pPr>
          </w:p>
        </w:tc>
        <w:tc>
          <w:tcPr>
            <w:tcW w:w="624" w:type="dxa"/>
          </w:tcPr>
          <w:p w14:paraId="49FAE2F2" w14:textId="77777777" w:rsidR="002068AF" w:rsidRDefault="002068AF">
            <w:pPr>
              <w:pStyle w:val="TableText"/>
            </w:pPr>
          </w:p>
        </w:tc>
        <w:tc>
          <w:tcPr>
            <w:tcW w:w="624" w:type="dxa"/>
          </w:tcPr>
          <w:p w14:paraId="38E13847" w14:textId="77777777" w:rsidR="002068AF" w:rsidRDefault="002068AF">
            <w:pPr>
              <w:pStyle w:val="TableText"/>
            </w:pPr>
            <w:r>
              <w:rPr>
                <w:rFonts w:hint="cs"/>
                <w:rtl/>
              </w:rPr>
              <w:t>(4)</w:t>
            </w:r>
          </w:p>
        </w:tc>
        <w:tc>
          <w:tcPr>
            <w:tcW w:w="6522" w:type="dxa"/>
            <w:gridSpan w:val="2"/>
          </w:tcPr>
          <w:p w14:paraId="3338D7E2" w14:textId="77777777" w:rsidR="002068AF" w:rsidRDefault="002068AF">
            <w:pPr>
              <w:pStyle w:val="TableBlock"/>
            </w:pPr>
            <w:r>
              <w:rPr>
                <w:rFonts w:hint="cs"/>
                <w:rtl/>
              </w:rPr>
              <w:t>בחוק מסים עקיפים (מס ששולם ביתר או בחסר), התשכ"ח-1968</w:t>
            </w:r>
            <w:r w:rsidR="00B47F71">
              <w:rPr>
                <w:rStyle w:val="a7"/>
                <w:rtl/>
              </w:rPr>
              <w:footnoteReference w:id="4"/>
            </w:r>
            <w:r>
              <w:rPr>
                <w:rFonts w:hint="cs"/>
                <w:rtl/>
              </w:rPr>
              <w:t>- בהגדרה "התקופה הקובעת" שבסעיף 1;</w:t>
            </w:r>
          </w:p>
        </w:tc>
      </w:tr>
      <w:tr w:rsidR="00A05321" w14:paraId="3818DD7B" w14:textId="77777777">
        <w:trPr>
          <w:cantSplit/>
          <w:trHeight w:val="60"/>
        </w:trPr>
        <w:tc>
          <w:tcPr>
            <w:tcW w:w="1871" w:type="dxa"/>
          </w:tcPr>
          <w:p w14:paraId="7D4B4BC9" w14:textId="77777777" w:rsidR="00A05321" w:rsidRDefault="00A05321">
            <w:pPr>
              <w:pStyle w:val="TableSideHeading"/>
            </w:pPr>
          </w:p>
        </w:tc>
        <w:tc>
          <w:tcPr>
            <w:tcW w:w="624" w:type="dxa"/>
          </w:tcPr>
          <w:p w14:paraId="4CA75DD9" w14:textId="77777777" w:rsidR="00A05321" w:rsidRDefault="00A05321" w:rsidP="00A05321">
            <w:pPr>
              <w:pStyle w:val="TableText"/>
            </w:pPr>
          </w:p>
        </w:tc>
        <w:tc>
          <w:tcPr>
            <w:tcW w:w="624" w:type="dxa"/>
          </w:tcPr>
          <w:p w14:paraId="4BC8232D" w14:textId="77777777" w:rsidR="00A05321" w:rsidRDefault="00A05321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(5)</w:t>
            </w:r>
          </w:p>
        </w:tc>
        <w:tc>
          <w:tcPr>
            <w:tcW w:w="6522" w:type="dxa"/>
            <w:gridSpan w:val="2"/>
          </w:tcPr>
          <w:p w14:paraId="57FA4AEA" w14:textId="77777777" w:rsidR="00A05321" w:rsidRDefault="00A05321">
            <w:pPr>
              <w:pStyle w:val="TableBlock"/>
              <w:rPr>
                <w:rtl/>
              </w:rPr>
            </w:pPr>
            <w:r w:rsidRPr="00E66856">
              <w:rPr>
                <w:rFonts w:hint="cs"/>
                <w:rtl/>
              </w:rPr>
              <w:t>ב</w:t>
            </w:r>
            <w:r w:rsidRPr="00E66856">
              <w:rPr>
                <w:rtl/>
              </w:rPr>
              <w:t xml:space="preserve">תקנות המכס (חישוב ערכם של טובין שיובאו לשימוש עצמי), </w:t>
            </w:r>
            <w:r w:rsidRPr="00E66856">
              <w:rPr>
                <w:rFonts w:hint="eastAsia"/>
                <w:rtl/>
              </w:rPr>
              <w:t>ה</w:t>
            </w:r>
            <w:r w:rsidRPr="00E66856">
              <w:rPr>
                <w:rtl/>
              </w:rPr>
              <w:t>תשס"ז-2006</w:t>
            </w:r>
            <w:r w:rsidRPr="00E66856">
              <w:rPr>
                <w:rStyle w:val="a7"/>
                <w:rtl/>
              </w:rPr>
              <w:footnoteReference w:id="5"/>
            </w:r>
            <w:r w:rsidRPr="00E66856">
              <w:rPr>
                <w:rFonts w:hint="cs"/>
                <w:sz w:val="26"/>
                <w:rtl/>
              </w:rPr>
              <w:t xml:space="preserve"> - תקנות 4 ו-5;</w:t>
            </w:r>
          </w:p>
        </w:tc>
      </w:tr>
      <w:tr w:rsidR="002068AF" w14:paraId="1FECFB22" w14:textId="77777777">
        <w:trPr>
          <w:cantSplit/>
          <w:trHeight w:val="60"/>
        </w:trPr>
        <w:tc>
          <w:tcPr>
            <w:tcW w:w="1871" w:type="dxa"/>
          </w:tcPr>
          <w:p w14:paraId="2CF595CC" w14:textId="77777777" w:rsidR="002068AF" w:rsidRDefault="002068AF">
            <w:pPr>
              <w:pStyle w:val="TableSideHeading"/>
            </w:pPr>
          </w:p>
        </w:tc>
        <w:tc>
          <w:tcPr>
            <w:tcW w:w="624" w:type="dxa"/>
          </w:tcPr>
          <w:p w14:paraId="64806BFA" w14:textId="77777777" w:rsidR="002068AF" w:rsidRDefault="002068AF" w:rsidP="002068AF">
            <w:pPr>
              <w:pStyle w:val="TableText"/>
            </w:pPr>
          </w:p>
        </w:tc>
        <w:tc>
          <w:tcPr>
            <w:tcW w:w="624" w:type="dxa"/>
          </w:tcPr>
          <w:p w14:paraId="2DBB50DB" w14:textId="77777777" w:rsidR="002068AF" w:rsidRDefault="002068AF">
            <w:pPr>
              <w:pStyle w:val="TableText"/>
            </w:pPr>
            <w:r>
              <w:rPr>
                <w:rFonts w:hint="cs"/>
                <w:rtl/>
              </w:rPr>
              <w:t>(5)</w:t>
            </w:r>
          </w:p>
        </w:tc>
        <w:tc>
          <w:tcPr>
            <w:tcW w:w="6522" w:type="dxa"/>
            <w:gridSpan w:val="2"/>
          </w:tcPr>
          <w:p w14:paraId="06199EC7" w14:textId="77777777" w:rsidR="002068AF" w:rsidRDefault="002068AF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בחוק מיסוי מקרקעין</w:t>
            </w:r>
            <w:r w:rsidR="00934FE1">
              <w:rPr>
                <w:rFonts w:hint="cs"/>
                <w:rtl/>
              </w:rPr>
              <w:t xml:space="preserve"> (שבח ורכישה), התשכ"ג- 1963</w:t>
            </w:r>
            <w:r w:rsidR="00A05321">
              <w:rPr>
                <w:rStyle w:val="a7"/>
                <w:rtl/>
              </w:rPr>
              <w:footnoteReference w:id="6"/>
            </w:r>
            <w:r w:rsidR="00FB7742">
              <w:rPr>
                <w:rFonts w:hint="cs"/>
                <w:rtl/>
              </w:rPr>
              <w:t xml:space="preserve"> (להלן- חוק מיסוי מקרקעין)</w:t>
            </w:r>
            <w:r w:rsidR="00934FE1">
              <w:rPr>
                <w:rFonts w:hint="cs"/>
                <w:rtl/>
              </w:rPr>
              <w:t>:</w:t>
            </w:r>
          </w:p>
        </w:tc>
      </w:tr>
      <w:tr w:rsidR="00934FE1" w14:paraId="527CFE26" w14:textId="77777777">
        <w:trPr>
          <w:cantSplit/>
          <w:trHeight w:val="60"/>
        </w:trPr>
        <w:tc>
          <w:tcPr>
            <w:tcW w:w="1871" w:type="dxa"/>
          </w:tcPr>
          <w:p w14:paraId="616AFBBA" w14:textId="77777777" w:rsidR="00934FE1" w:rsidRDefault="00934FE1">
            <w:pPr>
              <w:pStyle w:val="TableSideHeading"/>
            </w:pPr>
          </w:p>
        </w:tc>
        <w:tc>
          <w:tcPr>
            <w:tcW w:w="624" w:type="dxa"/>
          </w:tcPr>
          <w:p w14:paraId="6047E722" w14:textId="77777777" w:rsidR="00934FE1" w:rsidRDefault="00934FE1">
            <w:pPr>
              <w:pStyle w:val="TableText"/>
            </w:pPr>
          </w:p>
        </w:tc>
        <w:tc>
          <w:tcPr>
            <w:tcW w:w="624" w:type="dxa"/>
          </w:tcPr>
          <w:p w14:paraId="417AF804" w14:textId="77777777" w:rsidR="00934FE1" w:rsidRDefault="00934FE1">
            <w:pPr>
              <w:pStyle w:val="TableText"/>
            </w:pPr>
          </w:p>
        </w:tc>
        <w:tc>
          <w:tcPr>
            <w:tcW w:w="624" w:type="dxa"/>
          </w:tcPr>
          <w:p w14:paraId="2589842D" w14:textId="77777777" w:rsidR="00934FE1" w:rsidRDefault="007D725E">
            <w:pPr>
              <w:pStyle w:val="TableText"/>
            </w:pPr>
            <w:r>
              <w:rPr>
                <w:rFonts w:hint="cs"/>
                <w:rtl/>
              </w:rPr>
              <w:t>(א)</w:t>
            </w:r>
          </w:p>
        </w:tc>
        <w:tc>
          <w:tcPr>
            <w:tcW w:w="5898" w:type="dxa"/>
          </w:tcPr>
          <w:p w14:paraId="27A07A35" w14:textId="77777777" w:rsidR="00934FE1" w:rsidRPr="00934FE1" w:rsidRDefault="007D725E">
            <w:pPr>
              <w:pStyle w:val="TableBlock"/>
            </w:pPr>
            <w:r>
              <w:rPr>
                <w:rFonts w:hint="cs"/>
                <w:rtl/>
              </w:rPr>
              <w:t>סעיף 15(ה)(1)- לעניין התקופה הקבועה בו להגשת בקשה להקטין את שיעורי המקדמה הקבועים בסעיף קטן (ב);</w:t>
            </w:r>
          </w:p>
        </w:tc>
      </w:tr>
      <w:tr w:rsidR="007D725E" w14:paraId="0EB21F8B" w14:textId="77777777">
        <w:trPr>
          <w:cantSplit/>
          <w:trHeight w:val="60"/>
        </w:trPr>
        <w:tc>
          <w:tcPr>
            <w:tcW w:w="1871" w:type="dxa"/>
          </w:tcPr>
          <w:p w14:paraId="202EC8CE" w14:textId="77777777" w:rsidR="007D725E" w:rsidRDefault="007D725E">
            <w:pPr>
              <w:pStyle w:val="TableSideHeading"/>
            </w:pPr>
          </w:p>
        </w:tc>
        <w:tc>
          <w:tcPr>
            <w:tcW w:w="624" w:type="dxa"/>
          </w:tcPr>
          <w:p w14:paraId="3DDA47E0" w14:textId="77777777" w:rsidR="007D725E" w:rsidRDefault="007D725E" w:rsidP="007D725E">
            <w:pPr>
              <w:pStyle w:val="TableText"/>
            </w:pPr>
          </w:p>
        </w:tc>
        <w:tc>
          <w:tcPr>
            <w:tcW w:w="624" w:type="dxa"/>
          </w:tcPr>
          <w:p w14:paraId="7A042953" w14:textId="77777777" w:rsidR="007D725E" w:rsidRDefault="007D725E">
            <w:pPr>
              <w:pStyle w:val="TableText"/>
            </w:pPr>
          </w:p>
        </w:tc>
        <w:tc>
          <w:tcPr>
            <w:tcW w:w="624" w:type="dxa"/>
          </w:tcPr>
          <w:p w14:paraId="0CB243E6" w14:textId="77777777" w:rsidR="007D725E" w:rsidRDefault="00791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(ב)</w:t>
            </w:r>
          </w:p>
        </w:tc>
        <w:tc>
          <w:tcPr>
            <w:tcW w:w="5898" w:type="dxa"/>
          </w:tcPr>
          <w:p w14:paraId="2DE39404" w14:textId="77777777" w:rsidR="007D725E" w:rsidRDefault="007D725E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סעיף 15(ה)(2) ו-(ו)(1);</w:t>
            </w:r>
          </w:p>
        </w:tc>
      </w:tr>
      <w:tr w:rsidR="007D725E" w14:paraId="7D6C6D9A" w14:textId="77777777">
        <w:trPr>
          <w:cantSplit/>
          <w:trHeight w:val="60"/>
        </w:trPr>
        <w:tc>
          <w:tcPr>
            <w:tcW w:w="1871" w:type="dxa"/>
          </w:tcPr>
          <w:p w14:paraId="6270D2EA" w14:textId="77777777" w:rsidR="007D725E" w:rsidRDefault="007D725E">
            <w:pPr>
              <w:pStyle w:val="TableSideHeading"/>
            </w:pPr>
          </w:p>
        </w:tc>
        <w:tc>
          <w:tcPr>
            <w:tcW w:w="624" w:type="dxa"/>
          </w:tcPr>
          <w:p w14:paraId="1D58366C" w14:textId="77777777" w:rsidR="007D725E" w:rsidRDefault="007D725E" w:rsidP="007D725E">
            <w:pPr>
              <w:pStyle w:val="TableText"/>
            </w:pPr>
          </w:p>
        </w:tc>
        <w:tc>
          <w:tcPr>
            <w:tcW w:w="624" w:type="dxa"/>
          </w:tcPr>
          <w:p w14:paraId="5C2C97C9" w14:textId="77777777" w:rsidR="007D725E" w:rsidRDefault="007D725E">
            <w:pPr>
              <w:pStyle w:val="TableText"/>
            </w:pPr>
          </w:p>
        </w:tc>
        <w:tc>
          <w:tcPr>
            <w:tcW w:w="624" w:type="dxa"/>
          </w:tcPr>
          <w:p w14:paraId="35C7EFF5" w14:textId="77777777" w:rsidR="007D725E" w:rsidRDefault="00791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(ג)</w:t>
            </w:r>
          </w:p>
        </w:tc>
        <w:tc>
          <w:tcPr>
            <w:tcW w:w="5898" w:type="dxa"/>
          </w:tcPr>
          <w:p w14:paraId="524D6019" w14:textId="77777777" w:rsidR="007D725E" w:rsidRDefault="007D725E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סעיף 49י</w:t>
            </w:r>
            <w:r w:rsidR="002C244F">
              <w:rPr>
                <w:rFonts w:hint="cs"/>
                <w:rtl/>
              </w:rPr>
              <w:t>(א)(7);</w:t>
            </w:r>
          </w:p>
        </w:tc>
      </w:tr>
      <w:tr w:rsidR="002C244F" w14:paraId="5DAA1756" w14:textId="77777777">
        <w:trPr>
          <w:cantSplit/>
          <w:trHeight w:val="60"/>
        </w:trPr>
        <w:tc>
          <w:tcPr>
            <w:tcW w:w="1871" w:type="dxa"/>
          </w:tcPr>
          <w:p w14:paraId="43B5BAEF" w14:textId="77777777" w:rsidR="002C244F" w:rsidRDefault="002C244F">
            <w:pPr>
              <w:pStyle w:val="TableSideHeading"/>
            </w:pPr>
          </w:p>
        </w:tc>
        <w:tc>
          <w:tcPr>
            <w:tcW w:w="624" w:type="dxa"/>
          </w:tcPr>
          <w:p w14:paraId="2DD144C2" w14:textId="77777777" w:rsidR="002C244F" w:rsidRDefault="002C244F" w:rsidP="002C244F">
            <w:pPr>
              <w:pStyle w:val="TableText"/>
            </w:pPr>
          </w:p>
        </w:tc>
        <w:tc>
          <w:tcPr>
            <w:tcW w:w="624" w:type="dxa"/>
          </w:tcPr>
          <w:p w14:paraId="50478976" w14:textId="77777777" w:rsidR="002C244F" w:rsidRDefault="002C244F">
            <w:pPr>
              <w:pStyle w:val="TableText"/>
            </w:pPr>
          </w:p>
        </w:tc>
        <w:tc>
          <w:tcPr>
            <w:tcW w:w="624" w:type="dxa"/>
          </w:tcPr>
          <w:p w14:paraId="63715C8A" w14:textId="77777777" w:rsidR="002C244F" w:rsidRDefault="00791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(ד)</w:t>
            </w:r>
          </w:p>
        </w:tc>
        <w:tc>
          <w:tcPr>
            <w:tcW w:w="5898" w:type="dxa"/>
          </w:tcPr>
          <w:p w14:paraId="0EF810D3" w14:textId="77777777" w:rsidR="002C244F" w:rsidRDefault="002C244F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סעיף 49כא(א);</w:t>
            </w:r>
          </w:p>
        </w:tc>
      </w:tr>
      <w:tr w:rsidR="002C244F" w14:paraId="58A4173A" w14:textId="77777777">
        <w:trPr>
          <w:cantSplit/>
          <w:trHeight w:val="60"/>
        </w:trPr>
        <w:tc>
          <w:tcPr>
            <w:tcW w:w="1871" w:type="dxa"/>
          </w:tcPr>
          <w:p w14:paraId="614E3048" w14:textId="77777777" w:rsidR="002C244F" w:rsidRDefault="002C244F">
            <w:pPr>
              <w:pStyle w:val="TableSideHeading"/>
            </w:pPr>
          </w:p>
        </w:tc>
        <w:tc>
          <w:tcPr>
            <w:tcW w:w="624" w:type="dxa"/>
          </w:tcPr>
          <w:p w14:paraId="0F9F2588" w14:textId="77777777" w:rsidR="002C244F" w:rsidRDefault="002C244F" w:rsidP="002C244F">
            <w:pPr>
              <w:pStyle w:val="TableText"/>
            </w:pPr>
          </w:p>
        </w:tc>
        <w:tc>
          <w:tcPr>
            <w:tcW w:w="624" w:type="dxa"/>
          </w:tcPr>
          <w:p w14:paraId="676F910B" w14:textId="77777777" w:rsidR="002C244F" w:rsidRDefault="002C244F">
            <w:pPr>
              <w:pStyle w:val="TableText"/>
            </w:pPr>
          </w:p>
        </w:tc>
        <w:tc>
          <w:tcPr>
            <w:tcW w:w="624" w:type="dxa"/>
          </w:tcPr>
          <w:p w14:paraId="3E1C4D81" w14:textId="77777777" w:rsidR="002C244F" w:rsidRDefault="00791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(ה)</w:t>
            </w:r>
          </w:p>
        </w:tc>
        <w:tc>
          <w:tcPr>
            <w:tcW w:w="5898" w:type="dxa"/>
          </w:tcPr>
          <w:p w14:paraId="5ED62707" w14:textId="77777777" w:rsidR="002C244F" w:rsidRDefault="002C244F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סעיף 49לב</w:t>
            </w:r>
            <w:r w:rsidR="009F7394">
              <w:rPr>
                <w:rFonts w:hint="cs"/>
                <w:rtl/>
              </w:rPr>
              <w:t>2</w:t>
            </w:r>
            <w:r>
              <w:rPr>
                <w:rFonts w:hint="cs"/>
                <w:rtl/>
              </w:rPr>
              <w:t>(א);</w:t>
            </w:r>
          </w:p>
        </w:tc>
      </w:tr>
      <w:tr w:rsidR="00A560A0" w14:paraId="4234E6DD" w14:textId="77777777">
        <w:trPr>
          <w:cantSplit/>
          <w:trHeight w:val="60"/>
        </w:trPr>
        <w:tc>
          <w:tcPr>
            <w:tcW w:w="1871" w:type="dxa"/>
          </w:tcPr>
          <w:p w14:paraId="2A1BE430" w14:textId="77777777" w:rsidR="00A560A0" w:rsidRDefault="00A560A0">
            <w:pPr>
              <w:pStyle w:val="TableSideHeading"/>
            </w:pPr>
          </w:p>
        </w:tc>
        <w:tc>
          <w:tcPr>
            <w:tcW w:w="624" w:type="dxa"/>
          </w:tcPr>
          <w:p w14:paraId="0B0DD04B" w14:textId="77777777" w:rsidR="00A560A0" w:rsidRDefault="00A560A0" w:rsidP="00A560A0">
            <w:pPr>
              <w:pStyle w:val="TableText"/>
            </w:pPr>
          </w:p>
        </w:tc>
        <w:tc>
          <w:tcPr>
            <w:tcW w:w="624" w:type="dxa"/>
          </w:tcPr>
          <w:p w14:paraId="2BFC9255" w14:textId="77777777" w:rsidR="00A560A0" w:rsidRDefault="00A560A0">
            <w:pPr>
              <w:pStyle w:val="TableText"/>
            </w:pPr>
          </w:p>
        </w:tc>
        <w:tc>
          <w:tcPr>
            <w:tcW w:w="624" w:type="dxa"/>
          </w:tcPr>
          <w:p w14:paraId="13868C7E" w14:textId="77777777" w:rsidR="00A560A0" w:rsidRPr="00E66856" w:rsidRDefault="00A560A0">
            <w:pPr>
              <w:pStyle w:val="TableText"/>
              <w:rPr>
                <w:rtl/>
              </w:rPr>
            </w:pPr>
            <w:r w:rsidRPr="00E66856">
              <w:rPr>
                <w:rFonts w:hint="cs"/>
                <w:rtl/>
              </w:rPr>
              <w:t>(ו)</w:t>
            </w:r>
          </w:p>
        </w:tc>
        <w:tc>
          <w:tcPr>
            <w:tcW w:w="5898" w:type="dxa"/>
          </w:tcPr>
          <w:p w14:paraId="2BC8676F" w14:textId="77777777" w:rsidR="00A560A0" w:rsidRPr="00E66856" w:rsidRDefault="00A560A0">
            <w:pPr>
              <w:pStyle w:val="TableBlock"/>
              <w:rPr>
                <w:rtl/>
              </w:rPr>
            </w:pPr>
            <w:r w:rsidRPr="00E66856">
              <w:rPr>
                <w:rFonts w:hint="cs"/>
                <w:rtl/>
              </w:rPr>
              <w:t>סעיף 75(ג);</w:t>
            </w:r>
          </w:p>
        </w:tc>
      </w:tr>
      <w:tr w:rsidR="002C244F" w14:paraId="7006210D" w14:textId="77777777">
        <w:trPr>
          <w:cantSplit/>
          <w:trHeight w:val="60"/>
        </w:trPr>
        <w:tc>
          <w:tcPr>
            <w:tcW w:w="1871" w:type="dxa"/>
          </w:tcPr>
          <w:p w14:paraId="02898873" w14:textId="77777777" w:rsidR="002C244F" w:rsidRDefault="002C244F">
            <w:pPr>
              <w:pStyle w:val="TableSideHeading"/>
            </w:pPr>
          </w:p>
        </w:tc>
        <w:tc>
          <w:tcPr>
            <w:tcW w:w="624" w:type="dxa"/>
          </w:tcPr>
          <w:p w14:paraId="71446749" w14:textId="77777777" w:rsidR="002C244F" w:rsidRDefault="002C244F" w:rsidP="002C244F">
            <w:pPr>
              <w:pStyle w:val="TableText"/>
            </w:pPr>
          </w:p>
        </w:tc>
        <w:tc>
          <w:tcPr>
            <w:tcW w:w="624" w:type="dxa"/>
          </w:tcPr>
          <w:p w14:paraId="683B4E9C" w14:textId="77777777" w:rsidR="002C244F" w:rsidRDefault="002C244F">
            <w:pPr>
              <w:pStyle w:val="TableText"/>
            </w:pPr>
          </w:p>
        </w:tc>
        <w:tc>
          <w:tcPr>
            <w:tcW w:w="624" w:type="dxa"/>
          </w:tcPr>
          <w:p w14:paraId="4643A797" w14:textId="77777777" w:rsidR="002C244F" w:rsidRDefault="00791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0A560A0">
              <w:rPr>
                <w:rFonts w:hint="cs"/>
                <w:rtl/>
              </w:rPr>
              <w:t>ז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5898" w:type="dxa"/>
          </w:tcPr>
          <w:p w14:paraId="2C811B6E" w14:textId="77777777" w:rsidR="002C244F" w:rsidRDefault="002C244F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סעיף 75א;</w:t>
            </w:r>
          </w:p>
        </w:tc>
      </w:tr>
      <w:tr w:rsidR="002C244F" w14:paraId="0AC6A88C" w14:textId="77777777">
        <w:trPr>
          <w:cantSplit/>
          <w:trHeight w:val="60"/>
        </w:trPr>
        <w:tc>
          <w:tcPr>
            <w:tcW w:w="1871" w:type="dxa"/>
          </w:tcPr>
          <w:p w14:paraId="362EE49D" w14:textId="77777777" w:rsidR="002C244F" w:rsidRDefault="002C244F">
            <w:pPr>
              <w:pStyle w:val="TableSideHeading"/>
            </w:pPr>
          </w:p>
        </w:tc>
        <w:tc>
          <w:tcPr>
            <w:tcW w:w="624" w:type="dxa"/>
          </w:tcPr>
          <w:p w14:paraId="40051C4C" w14:textId="77777777" w:rsidR="002C244F" w:rsidRDefault="002C244F" w:rsidP="002C244F">
            <w:pPr>
              <w:pStyle w:val="TableText"/>
            </w:pPr>
          </w:p>
        </w:tc>
        <w:tc>
          <w:tcPr>
            <w:tcW w:w="624" w:type="dxa"/>
          </w:tcPr>
          <w:p w14:paraId="1F1B7178" w14:textId="77777777" w:rsidR="002C244F" w:rsidRDefault="002C244F">
            <w:pPr>
              <w:pStyle w:val="TableText"/>
            </w:pPr>
          </w:p>
        </w:tc>
        <w:tc>
          <w:tcPr>
            <w:tcW w:w="624" w:type="dxa"/>
          </w:tcPr>
          <w:p w14:paraId="7ADCC49C" w14:textId="77777777" w:rsidR="002C244F" w:rsidRDefault="00791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0A560A0">
              <w:rPr>
                <w:rFonts w:hint="cs"/>
                <w:rtl/>
              </w:rPr>
              <w:t>ח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5898" w:type="dxa"/>
          </w:tcPr>
          <w:p w14:paraId="026F8179" w14:textId="77777777" w:rsidR="002C244F" w:rsidRDefault="00791F7B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סעיף 78;</w:t>
            </w:r>
          </w:p>
        </w:tc>
      </w:tr>
      <w:tr w:rsidR="00791F7B" w14:paraId="27BAEF9F" w14:textId="77777777">
        <w:trPr>
          <w:cantSplit/>
          <w:trHeight w:val="60"/>
        </w:trPr>
        <w:tc>
          <w:tcPr>
            <w:tcW w:w="1871" w:type="dxa"/>
          </w:tcPr>
          <w:p w14:paraId="023CAF13" w14:textId="77777777" w:rsidR="00791F7B" w:rsidRDefault="00791F7B">
            <w:pPr>
              <w:pStyle w:val="TableSideHeading"/>
            </w:pPr>
          </w:p>
        </w:tc>
        <w:tc>
          <w:tcPr>
            <w:tcW w:w="624" w:type="dxa"/>
          </w:tcPr>
          <w:p w14:paraId="6D151673" w14:textId="77777777" w:rsidR="00791F7B" w:rsidRDefault="00791F7B" w:rsidP="00791F7B">
            <w:pPr>
              <w:pStyle w:val="TableText"/>
            </w:pPr>
          </w:p>
        </w:tc>
        <w:tc>
          <w:tcPr>
            <w:tcW w:w="624" w:type="dxa"/>
          </w:tcPr>
          <w:p w14:paraId="5D0B3151" w14:textId="77777777" w:rsidR="00791F7B" w:rsidRDefault="00791F7B">
            <w:pPr>
              <w:pStyle w:val="TableText"/>
            </w:pPr>
          </w:p>
        </w:tc>
        <w:tc>
          <w:tcPr>
            <w:tcW w:w="624" w:type="dxa"/>
          </w:tcPr>
          <w:p w14:paraId="116FDDE6" w14:textId="77777777" w:rsidR="00791F7B" w:rsidRDefault="00791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0A560A0">
              <w:rPr>
                <w:rFonts w:hint="cs"/>
                <w:rtl/>
              </w:rPr>
              <w:t>ט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5898" w:type="dxa"/>
          </w:tcPr>
          <w:p w14:paraId="0BA0827F" w14:textId="77777777" w:rsidR="00791F7B" w:rsidRDefault="00791F7B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סעיף 85;</w:t>
            </w:r>
          </w:p>
        </w:tc>
      </w:tr>
      <w:tr w:rsidR="00791F7B" w14:paraId="34BC682B" w14:textId="77777777">
        <w:trPr>
          <w:cantSplit/>
          <w:trHeight w:val="60"/>
        </w:trPr>
        <w:tc>
          <w:tcPr>
            <w:tcW w:w="1871" w:type="dxa"/>
          </w:tcPr>
          <w:p w14:paraId="4987640E" w14:textId="77777777" w:rsidR="00791F7B" w:rsidRDefault="00791F7B">
            <w:pPr>
              <w:pStyle w:val="TableSideHeading"/>
            </w:pPr>
          </w:p>
        </w:tc>
        <w:tc>
          <w:tcPr>
            <w:tcW w:w="624" w:type="dxa"/>
          </w:tcPr>
          <w:p w14:paraId="6A1636E3" w14:textId="77777777" w:rsidR="00791F7B" w:rsidRDefault="00791F7B" w:rsidP="00791F7B">
            <w:pPr>
              <w:pStyle w:val="TableText"/>
            </w:pPr>
          </w:p>
        </w:tc>
        <w:tc>
          <w:tcPr>
            <w:tcW w:w="624" w:type="dxa"/>
          </w:tcPr>
          <w:p w14:paraId="71449F71" w14:textId="77777777" w:rsidR="00791F7B" w:rsidRDefault="00791F7B">
            <w:pPr>
              <w:pStyle w:val="TableText"/>
            </w:pPr>
          </w:p>
        </w:tc>
        <w:tc>
          <w:tcPr>
            <w:tcW w:w="624" w:type="dxa"/>
          </w:tcPr>
          <w:p w14:paraId="70A5B15A" w14:textId="77777777" w:rsidR="00791F7B" w:rsidRDefault="00791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0A560A0">
              <w:rPr>
                <w:rFonts w:hint="cs"/>
                <w:rtl/>
              </w:rPr>
              <w:t>י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5898" w:type="dxa"/>
          </w:tcPr>
          <w:p w14:paraId="1F91BAEA" w14:textId="77777777" w:rsidR="00791F7B" w:rsidRDefault="00791F7B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סעיף 85א;</w:t>
            </w:r>
          </w:p>
        </w:tc>
      </w:tr>
      <w:tr w:rsidR="00791F7B" w14:paraId="0E095ECF" w14:textId="77777777">
        <w:trPr>
          <w:cantSplit/>
          <w:trHeight w:val="60"/>
        </w:trPr>
        <w:tc>
          <w:tcPr>
            <w:tcW w:w="1871" w:type="dxa"/>
          </w:tcPr>
          <w:p w14:paraId="3AF50633" w14:textId="77777777" w:rsidR="00791F7B" w:rsidRDefault="00791F7B">
            <w:pPr>
              <w:pStyle w:val="TableSideHeading"/>
            </w:pPr>
          </w:p>
        </w:tc>
        <w:tc>
          <w:tcPr>
            <w:tcW w:w="624" w:type="dxa"/>
          </w:tcPr>
          <w:p w14:paraId="64FB9E6E" w14:textId="77777777" w:rsidR="00791F7B" w:rsidRDefault="00791F7B" w:rsidP="00791F7B">
            <w:pPr>
              <w:pStyle w:val="TableText"/>
            </w:pPr>
          </w:p>
        </w:tc>
        <w:tc>
          <w:tcPr>
            <w:tcW w:w="624" w:type="dxa"/>
          </w:tcPr>
          <w:p w14:paraId="23F9BBE0" w14:textId="77777777" w:rsidR="00791F7B" w:rsidRDefault="00791F7B">
            <w:pPr>
              <w:pStyle w:val="TableText"/>
            </w:pPr>
          </w:p>
        </w:tc>
        <w:tc>
          <w:tcPr>
            <w:tcW w:w="624" w:type="dxa"/>
          </w:tcPr>
          <w:p w14:paraId="3EA95904" w14:textId="77777777" w:rsidR="00791F7B" w:rsidRDefault="00791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(י</w:t>
            </w:r>
            <w:r w:rsidR="00A560A0">
              <w:rPr>
                <w:rFonts w:hint="cs"/>
                <w:rtl/>
              </w:rPr>
              <w:t>א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5898" w:type="dxa"/>
          </w:tcPr>
          <w:p w14:paraId="01C8C3BA" w14:textId="77777777" w:rsidR="00791F7B" w:rsidRDefault="00791F7B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סעיף 87;</w:t>
            </w:r>
          </w:p>
        </w:tc>
      </w:tr>
      <w:tr w:rsidR="00503F1E" w14:paraId="2DDDD288" w14:textId="77777777">
        <w:trPr>
          <w:cantSplit/>
          <w:trHeight w:val="60"/>
        </w:trPr>
        <w:tc>
          <w:tcPr>
            <w:tcW w:w="1871" w:type="dxa"/>
          </w:tcPr>
          <w:p w14:paraId="1886F36F" w14:textId="77777777" w:rsidR="00503F1E" w:rsidRDefault="00503F1E">
            <w:pPr>
              <w:pStyle w:val="TableSideHeading"/>
            </w:pPr>
          </w:p>
        </w:tc>
        <w:tc>
          <w:tcPr>
            <w:tcW w:w="624" w:type="dxa"/>
          </w:tcPr>
          <w:p w14:paraId="0C35B7B4" w14:textId="77777777" w:rsidR="00503F1E" w:rsidRDefault="00503F1E" w:rsidP="00503F1E">
            <w:pPr>
              <w:pStyle w:val="TableText"/>
            </w:pPr>
          </w:p>
        </w:tc>
        <w:tc>
          <w:tcPr>
            <w:tcW w:w="624" w:type="dxa"/>
          </w:tcPr>
          <w:p w14:paraId="03D527B8" w14:textId="77777777" w:rsidR="00503F1E" w:rsidRDefault="00503F1E">
            <w:pPr>
              <w:pStyle w:val="TableText"/>
            </w:pPr>
          </w:p>
        </w:tc>
        <w:tc>
          <w:tcPr>
            <w:tcW w:w="624" w:type="dxa"/>
          </w:tcPr>
          <w:p w14:paraId="23618195" w14:textId="77777777" w:rsidR="00503F1E" w:rsidRDefault="00503F1E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(י</w:t>
            </w:r>
            <w:r w:rsidR="00A560A0">
              <w:rPr>
                <w:rFonts w:hint="cs"/>
                <w:rtl/>
              </w:rPr>
              <w:t>ב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5898" w:type="dxa"/>
          </w:tcPr>
          <w:p w14:paraId="6EB4EC65" w14:textId="77777777" w:rsidR="00503F1E" w:rsidRDefault="00503F1E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סעיף 88;</w:t>
            </w:r>
          </w:p>
        </w:tc>
      </w:tr>
      <w:tr w:rsidR="005B0D4A" w14:paraId="4B720A2F" w14:textId="77777777">
        <w:trPr>
          <w:cantSplit/>
          <w:trHeight w:val="60"/>
        </w:trPr>
        <w:tc>
          <w:tcPr>
            <w:tcW w:w="1871" w:type="dxa"/>
          </w:tcPr>
          <w:p w14:paraId="31E27E5A" w14:textId="77777777" w:rsidR="005B0D4A" w:rsidRDefault="005B0D4A">
            <w:pPr>
              <w:pStyle w:val="TableSideHeading"/>
            </w:pPr>
          </w:p>
        </w:tc>
        <w:tc>
          <w:tcPr>
            <w:tcW w:w="624" w:type="dxa"/>
          </w:tcPr>
          <w:p w14:paraId="59161F75" w14:textId="77777777" w:rsidR="005B0D4A" w:rsidRDefault="005B0D4A">
            <w:pPr>
              <w:pStyle w:val="TableText"/>
            </w:pPr>
          </w:p>
        </w:tc>
        <w:tc>
          <w:tcPr>
            <w:tcW w:w="624" w:type="dxa"/>
          </w:tcPr>
          <w:p w14:paraId="40C1A066" w14:textId="77777777" w:rsidR="005B0D4A" w:rsidRPr="00E66856" w:rsidRDefault="005B0D4A">
            <w:pPr>
              <w:pStyle w:val="TableText"/>
            </w:pPr>
            <w:r w:rsidRPr="00E66856">
              <w:rPr>
                <w:rFonts w:hint="cs"/>
                <w:rtl/>
              </w:rPr>
              <w:t>(6)</w:t>
            </w:r>
          </w:p>
        </w:tc>
        <w:tc>
          <w:tcPr>
            <w:tcW w:w="6522" w:type="dxa"/>
            <w:gridSpan w:val="2"/>
          </w:tcPr>
          <w:p w14:paraId="5F333B2D" w14:textId="77777777" w:rsidR="005B0D4A" w:rsidRPr="00E66856" w:rsidRDefault="005B0D4A">
            <w:pPr>
              <w:pStyle w:val="TableBlock"/>
            </w:pPr>
            <w:r w:rsidRPr="00E66856">
              <w:rPr>
                <w:rFonts w:hint="cs"/>
                <w:rtl/>
              </w:rPr>
              <w:t>בתקנות מיסוי מקרקעין (שבח ורכישה)</w:t>
            </w:r>
            <w:r w:rsidR="009209A6" w:rsidRPr="00E66856">
              <w:rPr>
                <w:rFonts w:hint="cs"/>
                <w:rtl/>
              </w:rPr>
              <w:t xml:space="preserve"> (מס רכישה) , התשל"ה-1975</w:t>
            </w:r>
            <w:r w:rsidRPr="00E66856">
              <w:rPr>
                <w:rStyle w:val="a7"/>
                <w:rtl/>
              </w:rPr>
              <w:footnoteReference w:id="7"/>
            </w:r>
            <w:r w:rsidR="002718E0" w:rsidRPr="00E66856">
              <w:rPr>
                <w:rFonts w:hint="cs"/>
                <w:rtl/>
              </w:rPr>
              <w:t>- תקנה 2(1א)(2)</w:t>
            </w:r>
            <w:r w:rsidR="00293397">
              <w:rPr>
                <w:rFonts w:hint="cs"/>
                <w:rtl/>
              </w:rPr>
              <w:t>;</w:t>
            </w:r>
          </w:p>
        </w:tc>
      </w:tr>
      <w:tr w:rsidR="00791F7B" w14:paraId="4414BA97" w14:textId="77777777">
        <w:trPr>
          <w:cantSplit/>
          <w:trHeight w:val="60"/>
        </w:trPr>
        <w:tc>
          <w:tcPr>
            <w:tcW w:w="1871" w:type="dxa"/>
          </w:tcPr>
          <w:p w14:paraId="70FD88EF" w14:textId="77777777" w:rsidR="00791F7B" w:rsidRDefault="00791F7B">
            <w:pPr>
              <w:pStyle w:val="TableSideHeading"/>
            </w:pPr>
          </w:p>
        </w:tc>
        <w:tc>
          <w:tcPr>
            <w:tcW w:w="624" w:type="dxa"/>
          </w:tcPr>
          <w:p w14:paraId="497B2D30" w14:textId="77777777" w:rsidR="00791F7B" w:rsidRDefault="00791F7B">
            <w:pPr>
              <w:pStyle w:val="TableText"/>
            </w:pPr>
          </w:p>
        </w:tc>
        <w:tc>
          <w:tcPr>
            <w:tcW w:w="624" w:type="dxa"/>
          </w:tcPr>
          <w:p w14:paraId="158167BA" w14:textId="77777777" w:rsidR="00791F7B" w:rsidRDefault="00E13214">
            <w:pPr>
              <w:pStyle w:val="TableText"/>
            </w:pPr>
            <w:r>
              <w:rPr>
                <w:rFonts w:hint="cs"/>
                <w:rtl/>
              </w:rPr>
              <w:t>(</w:t>
            </w:r>
            <w:r w:rsidR="005B0D4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6522" w:type="dxa"/>
            <w:gridSpan w:val="2"/>
          </w:tcPr>
          <w:p w14:paraId="20750385" w14:textId="77777777" w:rsidR="00791F7B" w:rsidRDefault="00791F7B">
            <w:pPr>
              <w:pStyle w:val="TableBlock"/>
            </w:pPr>
            <w:r>
              <w:rPr>
                <w:rFonts w:hint="cs"/>
                <w:rtl/>
              </w:rPr>
              <w:t>בחוק לעידוד השקעות הון, התשי"ט- 1959</w:t>
            </w:r>
            <w:r w:rsidR="00E13214">
              <w:rPr>
                <w:rStyle w:val="a7"/>
                <w:rtl/>
              </w:rPr>
              <w:footnoteReference w:id="8"/>
            </w:r>
            <w:r>
              <w:rPr>
                <w:rFonts w:hint="cs"/>
                <w:rtl/>
              </w:rPr>
              <w:t>:</w:t>
            </w:r>
          </w:p>
        </w:tc>
      </w:tr>
      <w:tr w:rsidR="00791F7B" w14:paraId="7769E7A5" w14:textId="77777777">
        <w:trPr>
          <w:cantSplit/>
          <w:trHeight w:val="60"/>
        </w:trPr>
        <w:tc>
          <w:tcPr>
            <w:tcW w:w="1871" w:type="dxa"/>
          </w:tcPr>
          <w:p w14:paraId="6A471250" w14:textId="77777777" w:rsidR="00791F7B" w:rsidRDefault="00791F7B">
            <w:pPr>
              <w:pStyle w:val="TableSideHeading"/>
            </w:pPr>
          </w:p>
        </w:tc>
        <w:tc>
          <w:tcPr>
            <w:tcW w:w="624" w:type="dxa"/>
          </w:tcPr>
          <w:p w14:paraId="439670A3" w14:textId="77777777" w:rsidR="00791F7B" w:rsidRDefault="00791F7B">
            <w:pPr>
              <w:pStyle w:val="TableText"/>
            </w:pPr>
          </w:p>
        </w:tc>
        <w:tc>
          <w:tcPr>
            <w:tcW w:w="624" w:type="dxa"/>
          </w:tcPr>
          <w:p w14:paraId="7D6BF46E" w14:textId="77777777" w:rsidR="00791F7B" w:rsidRDefault="00791F7B">
            <w:pPr>
              <w:pStyle w:val="TableText"/>
            </w:pPr>
          </w:p>
        </w:tc>
        <w:tc>
          <w:tcPr>
            <w:tcW w:w="624" w:type="dxa"/>
          </w:tcPr>
          <w:p w14:paraId="318D0A49" w14:textId="77777777" w:rsidR="00791F7B" w:rsidRDefault="008F51FB">
            <w:pPr>
              <w:pStyle w:val="TableText"/>
            </w:pPr>
            <w:r>
              <w:rPr>
                <w:rFonts w:hint="cs"/>
                <w:rtl/>
              </w:rPr>
              <w:t>(א)</w:t>
            </w:r>
          </w:p>
        </w:tc>
        <w:tc>
          <w:tcPr>
            <w:tcW w:w="5898" w:type="dxa"/>
          </w:tcPr>
          <w:p w14:paraId="0AD062C5" w14:textId="77777777" w:rsidR="00791F7B" w:rsidRDefault="008F51FB">
            <w:pPr>
              <w:pStyle w:val="TableBlock"/>
            </w:pPr>
            <w:r>
              <w:rPr>
                <w:rFonts w:hint="cs"/>
                <w:rtl/>
              </w:rPr>
              <w:t>סעיף 51ד רישא- לעניין תקופת 12 החודשים הקבועה בו;</w:t>
            </w:r>
          </w:p>
        </w:tc>
      </w:tr>
      <w:tr w:rsidR="008F51FB" w14:paraId="7743D629" w14:textId="77777777">
        <w:trPr>
          <w:cantSplit/>
          <w:trHeight w:val="60"/>
        </w:trPr>
        <w:tc>
          <w:tcPr>
            <w:tcW w:w="1871" w:type="dxa"/>
          </w:tcPr>
          <w:p w14:paraId="34E89B1B" w14:textId="77777777" w:rsidR="008F51FB" w:rsidRDefault="008F51FB">
            <w:pPr>
              <w:pStyle w:val="TableSideHeading"/>
            </w:pPr>
          </w:p>
        </w:tc>
        <w:tc>
          <w:tcPr>
            <w:tcW w:w="624" w:type="dxa"/>
          </w:tcPr>
          <w:p w14:paraId="5A931F84" w14:textId="77777777" w:rsidR="008F51FB" w:rsidRDefault="008F51FB" w:rsidP="008F51FB">
            <w:pPr>
              <w:pStyle w:val="TableText"/>
            </w:pPr>
          </w:p>
        </w:tc>
        <w:tc>
          <w:tcPr>
            <w:tcW w:w="624" w:type="dxa"/>
          </w:tcPr>
          <w:p w14:paraId="592CFA72" w14:textId="77777777" w:rsidR="008F51FB" w:rsidRDefault="008F51FB">
            <w:pPr>
              <w:pStyle w:val="TableText"/>
            </w:pPr>
          </w:p>
        </w:tc>
        <w:tc>
          <w:tcPr>
            <w:tcW w:w="624" w:type="dxa"/>
          </w:tcPr>
          <w:p w14:paraId="2D90CC0B" w14:textId="77777777" w:rsidR="008F51FB" w:rsidRDefault="008F51F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(ב)</w:t>
            </w:r>
          </w:p>
        </w:tc>
        <w:tc>
          <w:tcPr>
            <w:tcW w:w="5898" w:type="dxa"/>
          </w:tcPr>
          <w:p w14:paraId="26F099AA" w14:textId="77777777" w:rsidR="008F51FB" w:rsidRDefault="008F51FB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סעיף 51ט(א);</w:t>
            </w:r>
          </w:p>
        </w:tc>
      </w:tr>
      <w:tr w:rsidR="008F51FB" w14:paraId="067D97EE" w14:textId="77777777">
        <w:trPr>
          <w:cantSplit/>
          <w:trHeight w:val="60"/>
        </w:trPr>
        <w:tc>
          <w:tcPr>
            <w:tcW w:w="1871" w:type="dxa"/>
          </w:tcPr>
          <w:p w14:paraId="007BE712" w14:textId="77777777" w:rsidR="008F51FB" w:rsidRDefault="008F51FB">
            <w:pPr>
              <w:pStyle w:val="TableSideHeading"/>
            </w:pPr>
          </w:p>
        </w:tc>
        <w:tc>
          <w:tcPr>
            <w:tcW w:w="624" w:type="dxa"/>
          </w:tcPr>
          <w:p w14:paraId="2C5C60E7" w14:textId="77777777" w:rsidR="008F51FB" w:rsidRDefault="008F51FB">
            <w:pPr>
              <w:pStyle w:val="TableText"/>
            </w:pPr>
          </w:p>
        </w:tc>
        <w:tc>
          <w:tcPr>
            <w:tcW w:w="624" w:type="dxa"/>
          </w:tcPr>
          <w:p w14:paraId="6EFE3CB5" w14:textId="77777777" w:rsidR="008F51FB" w:rsidRDefault="005476F7">
            <w:pPr>
              <w:pStyle w:val="TableText"/>
            </w:pPr>
            <w:r>
              <w:rPr>
                <w:rFonts w:hint="cs"/>
                <w:rtl/>
              </w:rPr>
              <w:t>(</w:t>
            </w:r>
            <w:r w:rsidR="004C5F6A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6522" w:type="dxa"/>
            <w:gridSpan w:val="2"/>
          </w:tcPr>
          <w:p w14:paraId="2A6BD957" w14:textId="77777777" w:rsidR="008F51FB" w:rsidRDefault="008F51FB">
            <w:pPr>
              <w:pStyle w:val="TableBlock"/>
            </w:pPr>
            <w:r>
              <w:rPr>
                <w:rFonts w:hint="cs"/>
                <w:rtl/>
              </w:rPr>
              <w:t>בחוק עידוד התעשייה (מסים) התשכ"ט-1969</w:t>
            </w:r>
            <w:r w:rsidR="005476F7">
              <w:rPr>
                <w:rStyle w:val="a7"/>
                <w:rtl/>
              </w:rPr>
              <w:footnoteReference w:id="9"/>
            </w:r>
            <w:r>
              <w:rPr>
                <w:rFonts w:hint="cs"/>
                <w:rtl/>
              </w:rPr>
              <w:t>, בסעיף 23(א)- לעניין תקופת שנת המס הנדרשת להגשת דוח במאוחד;</w:t>
            </w:r>
          </w:p>
        </w:tc>
      </w:tr>
      <w:tr w:rsidR="00A560A0" w14:paraId="45520139" w14:textId="77777777">
        <w:trPr>
          <w:cantSplit/>
          <w:trHeight w:val="60"/>
        </w:trPr>
        <w:tc>
          <w:tcPr>
            <w:tcW w:w="1871" w:type="dxa"/>
          </w:tcPr>
          <w:p w14:paraId="1B3A3737" w14:textId="77777777" w:rsidR="00A560A0" w:rsidRDefault="00A560A0">
            <w:pPr>
              <w:pStyle w:val="TableSideHeading"/>
            </w:pPr>
          </w:p>
        </w:tc>
        <w:tc>
          <w:tcPr>
            <w:tcW w:w="624" w:type="dxa"/>
          </w:tcPr>
          <w:p w14:paraId="236503D6" w14:textId="77777777" w:rsidR="00A560A0" w:rsidRDefault="00A560A0" w:rsidP="00A560A0">
            <w:pPr>
              <w:pStyle w:val="TableText"/>
            </w:pPr>
          </w:p>
        </w:tc>
        <w:tc>
          <w:tcPr>
            <w:tcW w:w="624" w:type="dxa"/>
          </w:tcPr>
          <w:p w14:paraId="7550EDD3" w14:textId="77777777" w:rsidR="00A560A0" w:rsidRDefault="00A560A0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(9)</w:t>
            </w:r>
          </w:p>
        </w:tc>
        <w:tc>
          <w:tcPr>
            <w:tcW w:w="6522" w:type="dxa"/>
            <w:gridSpan w:val="2"/>
          </w:tcPr>
          <w:p w14:paraId="3CC0A3A0" w14:textId="77777777" w:rsidR="00A560A0" w:rsidRPr="00E66856" w:rsidRDefault="00A560A0">
            <w:pPr>
              <w:pStyle w:val="TableBlock"/>
              <w:rPr>
                <w:rtl/>
              </w:rPr>
            </w:pPr>
            <w:r w:rsidRPr="00E66856">
              <w:rPr>
                <w:rtl/>
              </w:rPr>
              <w:t>בחוק לעידוד תעשייה עתירת ידע (הוראת שעה), התשפ"ג-2023</w:t>
            </w:r>
            <w:r w:rsidRPr="00E66856">
              <w:rPr>
                <w:rStyle w:val="a7"/>
                <w:rtl/>
              </w:rPr>
              <w:footnoteReference w:id="10"/>
            </w:r>
            <w:r w:rsidR="00E66856">
              <w:rPr>
                <w:rFonts w:hint="cs"/>
                <w:rtl/>
              </w:rPr>
              <w:t xml:space="preserve">- </w:t>
            </w:r>
            <w:r w:rsidR="00E66856" w:rsidRPr="00E66856">
              <w:rPr>
                <w:rtl/>
              </w:rPr>
              <w:t>סעיף 5(ד)(5)(א)</w:t>
            </w:r>
            <w:r w:rsidR="00C838CF">
              <w:rPr>
                <w:rFonts w:hint="cs"/>
                <w:rtl/>
              </w:rPr>
              <w:t xml:space="preserve"> ו-</w:t>
            </w:r>
            <w:r w:rsidR="00E66856">
              <w:rPr>
                <w:rFonts w:hint="cs"/>
                <w:rtl/>
              </w:rPr>
              <w:t xml:space="preserve"> (ג)</w:t>
            </w:r>
            <w:r w:rsidR="00E66856" w:rsidRPr="00E66856">
              <w:rPr>
                <w:rtl/>
              </w:rPr>
              <w:t xml:space="preserve"> – לעניין תקופת 90 הימים הקבועה ב</w:t>
            </w:r>
            <w:r w:rsidR="00E66856">
              <w:rPr>
                <w:rFonts w:hint="cs"/>
                <w:rtl/>
              </w:rPr>
              <w:t>הם</w:t>
            </w:r>
            <w:r w:rsidR="00E66856" w:rsidRPr="00E66856">
              <w:rPr>
                <w:rFonts w:hint="cs"/>
                <w:rtl/>
              </w:rPr>
              <w:t>;</w:t>
            </w:r>
            <w:r w:rsidR="00E66856">
              <w:rPr>
                <w:rFonts w:hint="cs"/>
                <w:rtl/>
              </w:rPr>
              <w:t xml:space="preserve"> </w:t>
            </w:r>
          </w:p>
        </w:tc>
      </w:tr>
      <w:tr w:rsidR="0069574E" w14:paraId="1F97EFBA" w14:textId="77777777">
        <w:trPr>
          <w:cantSplit/>
          <w:trHeight w:val="60"/>
        </w:trPr>
        <w:tc>
          <w:tcPr>
            <w:tcW w:w="1871" w:type="dxa"/>
          </w:tcPr>
          <w:p w14:paraId="7605C836" w14:textId="77777777" w:rsidR="0069574E" w:rsidRDefault="0069574E">
            <w:pPr>
              <w:pStyle w:val="TableSideHeading"/>
            </w:pPr>
          </w:p>
        </w:tc>
        <w:tc>
          <w:tcPr>
            <w:tcW w:w="624" w:type="dxa"/>
          </w:tcPr>
          <w:p w14:paraId="56DEBE05" w14:textId="77777777" w:rsidR="0069574E" w:rsidRDefault="0069574E" w:rsidP="0069574E">
            <w:pPr>
              <w:pStyle w:val="TableText"/>
            </w:pPr>
          </w:p>
        </w:tc>
        <w:tc>
          <w:tcPr>
            <w:tcW w:w="624" w:type="dxa"/>
          </w:tcPr>
          <w:p w14:paraId="3A2CB024" w14:textId="77777777" w:rsidR="0069574E" w:rsidRDefault="005476F7">
            <w:pPr>
              <w:pStyle w:val="TableText"/>
            </w:pPr>
            <w:r>
              <w:rPr>
                <w:rFonts w:hint="cs"/>
                <w:rtl/>
              </w:rPr>
              <w:t>(</w:t>
            </w:r>
            <w:r w:rsidR="00F459ED">
              <w:rPr>
                <w:rFonts w:hint="cs"/>
                <w:rtl/>
              </w:rPr>
              <w:t>10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6522" w:type="dxa"/>
            <w:gridSpan w:val="2"/>
          </w:tcPr>
          <w:p w14:paraId="5F6E2540" w14:textId="77777777" w:rsidR="0069574E" w:rsidRDefault="0069574E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בחוק מס קנייה(טובין ושירותים) התשי"ב-1952</w:t>
            </w:r>
            <w:r w:rsidR="005476F7">
              <w:rPr>
                <w:rStyle w:val="a7"/>
                <w:rtl/>
              </w:rPr>
              <w:footnoteReference w:id="11"/>
            </w:r>
            <w:r w:rsidR="00EB2FB7">
              <w:rPr>
                <w:rFonts w:hint="cs"/>
                <w:rtl/>
              </w:rPr>
              <w:t>:</w:t>
            </w:r>
          </w:p>
        </w:tc>
      </w:tr>
      <w:tr w:rsidR="0069574E" w14:paraId="740E689A" w14:textId="77777777">
        <w:trPr>
          <w:cantSplit/>
          <w:trHeight w:val="60"/>
        </w:trPr>
        <w:tc>
          <w:tcPr>
            <w:tcW w:w="1871" w:type="dxa"/>
          </w:tcPr>
          <w:p w14:paraId="22D4867E" w14:textId="77777777" w:rsidR="0069574E" w:rsidRDefault="0069574E">
            <w:pPr>
              <w:pStyle w:val="TableSideHeading"/>
            </w:pPr>
          </w:p>
        </w:tc>
        <w:tc>
          <w:tcPr>
            <w:tcW w:w="624" w:type="dxa"/>
          </w:tcPr>
          <w:p w14:paraId="4E385408" w14:textId="77777777" w:rsidR="0069574E" w:rsidRDefault="0069574E">
            <w:pPr>
              <w:pStyle w:val="TableText"/>
            </w:pPr>
          </w:p>
        </w:tc>
        <w:tc>
          <w:tcPr>
            <w:tcW w:w="624" w:type="dxa"/>
          </w:tcPr>
          <w:p w14:paraId="61FCA2F3" w14:textId="77777777" w:rsidR="0069574E" w:rsidRDefault="0069574E">
            <w:pPr>
              <w:pStyle w:val="TableText"/>
            </w:pPr>
          </w:p>
        </w:tc>
        <w:tc>
          <w:tcPr>
            <w:tcW w:w="624" w:type="dxa"/>
          </w:tcPr>
          <w:p w14:paraId="340441A2" w14:textId="77777777" w:rsidR="0069574E" w:rsidRDefault="005476F7">
            <w:pPr>
              <w:pStyle w:val="TableText"/>
            </w:pPr>
            <w:r>
              <w:rPr>
                <w:rFonts w:hint="cs"/>
                <w:rtl/>
              </w:rPr>
              <w:t>(א)</w:t>
            </w:r>
          </w:p>
        </w:tc>
        <w:tc>
          <w:tcPr>
            <w:tcW w:w="5898" w:type="dxa"/>
          </w:tcPr>
          <w:p w14:paraId="2256B946" w14:textId="77777777" w:rsidR="0069574E" w:rsidRDefault="0069574E">
            <w:pPr>
              <w:pStyle w:val="TableBlock"/>
            </w:pPr>
            <w:r>
              <w:rPr>
                <w:rFonts w:hint="cs"/>
                <w:rtl/>
              </w:rPr>
              <w:t>סעיף 5ג(ב);</w:t>
            </w:r>
          </w:p>
        </w:tc>
      </w:tr>
      <w:tr w:rsidR="0069574E" w14:paraId="61BC3033" w14:textId="77777777">
        <w:trPr>
          <w:cantSplit/>
          <w:trHeight w:val="60"/>
        </w:trPr>
        <w:tc>
          <w:tcPr>
            <w:tcW w:w="1871" w:type="dxa"/>
          </w:tcPr>
          <w:p w14:paraId="67CFC24C" w14:textId="77777777" w:rsidR="0069574E" w:rsidRDefault="0069574E">
            <w:pPr>
              <w:pStyle w:val="TableSideHeading"/>
            </w:pPr>
          </w:p>
        </w:tc>
        <w:tc>
          <w:tcPr>
            <w:tcW w:w="624" w:type="dxa"/>
          </w:tcPr>
          <w:p w14:paraId="285DBC3F" w14:textId="77777777" w:rsidR="0069574E" w:rsidRDefault="0069574E" w:rsidP="0069574E">
            <w:pPr>
              <w:pStyle w:val="TableText"/>
            </w:pPr>
          </w:p>
        </w:tc>
        <w:tc>
          <w:tcPr>
            <w:tcW w:w="624" w:type="dxa"/>
          </w:tcPr>
          <w:p w14:paraId="2F0B802C" w14:textId="77777777" w:rsidR="0069574E" w:rsidRDefault="0069574E">
            <w:pPr>
              <w:pStyle w:val="TableText"/>
            </w:pPr>
          </w:p>
        </w:tc>
        <w:tc>
          <w:tcPr>
            <w:tcW w:w="624" w:type="dxa"/>
          </w:tcPr>
          <w:p w14:paraId="6740F62B" w14:textId="77777777" w:rsidR="0069574E" w:rsidRDefault="005476F7">
            <w:pPr>
              <w:pStyle w:val="TableText"/>
            </w:pPr>
            <w:r>
              <w:rPr>
                <w:rFonts w:hint="cs"/>
                <w:rtl/>
              </w:rPr>
              <w:t>(ב)</w:t>
            </w:r>
          </w:p>
        </w:tc>
        <w:tc>
          <w:tcPr>
            <w:tcW w:w="5898" w:type="dxa"/>
          </w:tcPr>
          <w:p w14:paraId="4230B5D3" w14:textId="77777777" w:rsidR="0069574E" w:rsidRDefault="0069574E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 xml:space="preserve">סעיף 5ה(א) ו-(ב); </w:t>
            </w:r>
          </w:p>
        </w:tc>
      </w:tr>
      <w:tr w:rsidR="0069574E" w14:paraId="12F14E55" w14:textId="77777777">
        <w:trPr>
          <w:cantSplit/>
          <w:trHeight w:val="60"/>
        </w:trPr>
        <w:tc>
          <w:tcPr>
            <w:tcW w:w="1871" w:type="dxa"/>
          </w:tcPr>
          <w:p w14:paraId="0B91F87C" w14:textId="77777777" w:rsidR="0069574E" w:rsidRDefault="0069574E">
            <w:pPr>
              <w:pStyle w:val="TableSideHeading"/>
            </w:pPr>
          </w:p>
        </w:tc>
        <w:tc>
          <w:tcPr>
            <w:tcW w:w="624" w:type="dxa"/>
          </w:tcPr>
          <w:p w14:paraId="79F66C5C" w14:textId="77777777" w:rsidR="0069574E" w:rsidRDefault="0069574E">
            <w:pPr>
              <w:pStyle w:val="TableText"/>
            </w:pPr>
          </w:p>
        </w:tc>
        <w:tc>
          <w:tcPr>
            <w:tcW w:w="624" w:type="dxa"/>
          </w:tcPr>
          <w:p w14:paraId="7DA7F1EA" w14:textId="77777777" w:rsidR="0069574E" w:rsidRDefault="005476F7">
            <w:pPr>
              <w:pStyle w:val="TableText"/>
            </w:pPr>
            <w:r>
              <w:rPr>
                <w:rFonts w:hint="cs"/>
                <w:rtl/>
              </w:rPr>
              <w:t>(</w:t>
            </w:r>
            <w:r w:rsidR="00F459ED">
              <w:rPr>
                <w:rFonts w:hint="cs"/>
                <w:rtl/>
              </w:rPr>
              <w:t>11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6522" w:type="dxa"/>
            <w:gridSpan w:val="2"/>
          </w:tcPr>
          <w:p w14:paraId="2EF89ED0" w14:textId="77777777" w:rsidR="0069574E" w:rsidRDefault="0069574E">
            <w:pPr>
              <w:pStyle w:val="TableBlock"/>
            </w:pPr>
            <w:r>
              <w:rPr>
                <w:rFonts w:hint="cs"/>
                <w:rtl/>
              </w:rPr>
              <w:t>בחוק הבלו על דלק, התשי"ח-1958</w:t>
            </w:r>
            <w:r w:rsidR="0028571E">
              <w:rPr>
                <w:rStyle w:val="a7"/>
                <w:rtl/>
              </w:rPr>
              <w:footnoteReference w:id="12"/>
            </w:r>
            <w:r>
              <w:rPr>
                <w:rFonts w:hint="cs"/>
                <w:rtl/>
              </w:rPr>
              <w:t>;</w:t>
            </w:r>
          </w:p>
        </w:tc>
      </w:tr>
      <w:tr w:rsidR="0069574E" w14:paraId="01B9F987" w14:textId="77777777">
        <w:trPr>
          <w:cantSplit/>
          <w:trHeight w:val="60"/>
        </w:trPr>
        <w:tc>
          <w:tcPr>
            <w:tcW w:w="1871" w:type="dxa"/>
          </w:tcPr>
          <w:p w14:paraId="4E56D245" w14:textId="77777777" w:rsidR="0069574E" w:rsidRDefault="0069574E">
            <w:pPr>
              <w:pStyle w:val="TableSideHeading"/>
            </w:pPr>
          </w:p>
        </w:tc>
        <w:tc>
          <w:tcPr>
            <w:tcW w:w="624" w:type="dxa"/>
          </w:tcPr>
          <w:p w14:paraId="73CD6E2A" w14:textId="77777777" w:rsidR="0069574E" w:rsidRDefault="0069574E">
            <w:pPr>
              <w:pStyle w:val="TableText"/>
            </w:pPr>
          </w:p>
        </w:tc>
        <w:tc>
          <w:tcPr>
            <w:tcW w:w="624" w:type="dxa"/>
          </w:tcPr>
          <w:p w14:paraId="2B083DF1" w14:textId="77777777" w:rsidR="0069574E" w:rsidRDefault="0069574E">
            <w:pPr>
              <w:pStyle w:val="TableText"/>
            </w:pPr>
          </w:p>
        </w:tc>
        <w:tc>
          <w:tcPr>
            <w:tcW w:w="624" w:type="dxa"/>
          </w:tcPr>
          <w:p w14:paraId="763D039D" w14:textId="77777777" w:rsidR="0069574E" w:rsidRDefault="005476F7">
            <w:pPr>
              <w:pStyle w:val="TableText"/>
            </w:pPr>
            <w:r>
              <w:rPr>
                <w:rFonts w:hint="cs"/>
                <w:rtl/>
              </w:rPr>
              <w:t>(א)</w:t>
            </w:r>
          </w:p>
        </w:tc>
        <w:tc>
          <w:tcPr>
            <w:tcW w:w="5898" w:type="dxa"/>
          </w:tcPr>
          <w:p w14:paraId="1DC09FAA" w14:textId="77777777" w:rsidR="0069574E" w:rsidRDefault="0069574E">
            <w:pPr>
              <w:pStyle w:val="TableBlock"/>
            </w:pPr>
            <w:r>
              <w:rPr>
                <w:rFonts w:hint="cs"/>
                <w:rtl/>
              </w:rPr>
              <w:t>סעיף 9(ד);</w:t>
            </w:r>
          </w:p>
        </w:tc>
      </w:tr>
      <w:tr w:rsidR="0069574E" w14:paraId="1BE97F82" w14:textId="77777777">
        <w:trPr>
          <w:cantSplit/>
          <w:trHeight w:val="60"/>
        </w:trPr>
        <w:tc>
          <w:tcPr>
            <w:tcW w:w="1871" w:type="dxa"/>
          </w:tcPr>
          <w:p w14:paraId="56A66F6E" w14:textId="77777777" w:rsidR="0069574E" w:rsidRDefault="0069574E">
            <w:pPr>
              <w:pStyle w:val="TableSideHeading"/>
            </w:pPr>
          </w:p>
        </w:tc>
        <w:tc>
          <w:tcPr>
            <w:tcW w:w="624" w:type="dxa"/>
          </w:tcPr>
          <w:p w14:paraId="4A0DC26D" w14:textId="77777777" w:rsidR="0069574E" w:rsidRDefault="0069574E" w:rsidP="0069574E">
            <w:pPr>
              <w:pStyle w:val="TableText"/>
            </w:pPr>
          </w:p>
        </w:tc>
        <w:tc>
          <w:tcPr>
            <w:tcW w:w="624" w:type="dxa"/>
          </w:tcPr>
          <w:p w14:paraId="0CE8BCEC" w14:textId="77777777" w:rsidR="0069574E" w:rsidRDefault="0069574E">
            <w:pPr>
              <w:pStyle w:val="TableText"/>
            </w:pPr>
          </w:p>
        </w:tc>
        <w:tc>
          <w:tcPr>
            <w:tcW w:w="624" w:type="dxa"/>
          </w:tcPr>
          <w:p w14:paraId="57A45DBC" w14:textId="77777777" w:rsidR="0069574E" w:rsidRDefault="005476F7">
            <w:pPr>
              <w:pStyle w:val="TableText"/>
            </w:pPr>
            <w:r>
              <w:rPr>
                <w:rFonts w:hint="cs"/>
                <w:rtl/>
              </w:rPr>
              <w:t>(ב)</w:t>
            </w:r>
          </w:p>
        </w:tc>
        <w:tc>
          <w:tcPr>
            <w:tcW w:w="5898" w:type="dxa"/>
          </w:tcPr>
          <w:p w14:paraId="57ACD162" w14:textId="77777777" w:rsidR="0069574E" w:rsidRDefault="0069574E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סעיף 10;</w:t>
            </w:r>
          </w:p>
        </w:tc>
      </w:tr>
      <w:tr w:rsidR="0069574E" w14:paraId="575F3BF8" w14:textId="77777777">
        <w:trPr>
          <w:cantSplit/>
          <w:trHeight w:val="60"/>
        </w:trPr>
        <w:tc>
          <w:tcPr>
            <w:tcW w:w="1871" w:type="dxa"/>
          </w:tcPr>
          <w:p w14:paraId="67CD6F12" w14:textId="77777777" w:rsidR="0069574E" w:rsidRDefault="0069574E">
            <w:pPr>
              <w:pStyle w:val="TableSideHeading"/>
            </w:pPr>
          </w:p>
        </w:tc>
        <w:tc>
          <w:tcPr>
            <w:tcW w:w="624" w:type="dxa"/>
          </w:tcPr>
          <w:p w14:paraId="4F2B055E" w14:textId="77777777" w:rsidR="0069574E" w:rsidRDefault="0069574E" w:rsidP="0069574E">
            <w:pPr>
              <w:pStyle w:val="TableText"/>
            </w:pPr>
          </w:p>
        </w:tc>
        <w:tc>
          <w:tcPr>
            <w:tcW w:w="624" w:type="dxa"/>
          </w:tcPr>
          <w:p w14:paraId="4079BC58" w14:textId="77777777" w:rsidR="0069574E" w:rsidRDefault="0069574E">
            <w:pPr>
              <w:pStyle w:val="TableText"/>
            </w:pPr>
          </w:p>
        </w:tc>
        <w:tc>
          <w:tcPr>
            <w:tcW w:w="624" w:type="dxa"/>
          </w:tcPr>
          <w:p w14:paraId="193B439A" w14:textId="77777777" w:rsidR="0069574E" w:rsidRDefault="005476F7">
            <w:pPr>
              <w:pStyle w:val="TableText"/>
            </w:pPr>
            <w:r>
              <w:rPr>
                <w:rFonts w:hint="cs"/>
                <w:rtl/>
              </w:rPr>
              <w:t>(ג)</w:t>
            </w:r>
          </w:p>
        </w:tc>
        <w:tc>
          <w:tcPr>
            <w:tcW w:w="5898" w:type="dxa"/>
          </w:tcPr>
          <w:p w14:paraId="119D374D" w14:textId="77777777" w:rsidR="0069574E" w:rsidRDefault="0069574E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סעיף 15(ג);</w:t>
            </w:r>
          </w:p>
        </w:tc>
      </w:tr>
      <w:tr w:rsidR="0069574E" w14:paraId="09E7F43A" w14:textId="77777777">
        <w:trPr>
          <w:cantSplit/>
          <w:trHeight w:val="60"/>
        </w:trPr>
        <w:tc>
          <w:tcPr>
            <w:tcW w:w="1871" w:type="dxa"/>
          </w:tcPr>
          <w:p w14:paraId="7B8C7F5E" w14:textId="77777777" w:rsidR="0069574E" w:rsidRDefault="0069574E">
            <w:pPr>
              <w:pStyle w:val="TableSideHeading"/>
            </w:pPr>
          </w:p>
        </w:tc>
        <w:tc>
          <w:tcPr>
            <w:tcW w:w="624" w:type="dxa"/>
          </w:tcPr>
          <w:p w14:paraId="57FF3707" w14:textId="77777777" w:rsidR="0069574E" w:rsidRDefault="0069574E">
            <w:pPr>
              <w:pStyle w:val="TableText"/>
            </w:pPr>
          </w:p>
        </w:tc>
        <w:tc>
          <w:tcPr>
            <w:tcW w:w="624" w:type="dxa"/>
          </w:tcPr>
          <w:p w14:paraId="74EEE760" w14:textId="77777777" w:rsidR="0069574E" w:rsidRDefault="005476F7">
            <w:pPr>
              <w:pStyle w:val="TableText"/>
            </w:pPr>
            <w:r>
              <w:rPr>
                <w:rFonts w:hint="cs"/>
                <w:rtl/>
              </w:rPr>
              <w:t>(1</w:t>
            </w:r>
            <w:r w:rsidR="00F459ED">
              <w:rPr>
                <w:rFonts w:hint="cs"/>
                <w:rtl/>
              </w:rPr>
              <w:t>2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6522" w:type="dxa"/>
            <w:gridSpan w:val="2"/>
          </w:tcPr>
          <w:p w14:paraId="0C2F33EE" w14:textId="77777777" w:rsidR="0069574E" w:rsidRDefault="0069574E">
            <w:pPr>
              <w:pStyle w:val="TableBlock"/>
            </w:pPr>
            <w:r>
              <w:rPr>
                <w:rFonts w:hint="cs"/>
                <w:rtl/>
              </w:rPr>
              <w:t>בחוק מס רכוש וקרן פיצויים, התשכ"א- 1961- סעיף 36א(ב)</w:t>
            </w:r>
            <w:r w:rsidR="0028571E">
              <w:rPr>
                <w:rStyle w:val="a7"/>
                <w:rtl/>
              </w:rPr>
              <w:footnoteReference w:id="13"/>
            </w:r>
            <w:r>
              <w:rPr>
                <w:rFonts w:hint="cs"/>
                <w:rtl/>
              </w:rPr>
              <w:t>;</w:t>
            </w:r>
          </w:p>
        </w:tc>
      </w:tr>
      <w:tr w:rsidR="00DF4351" w14:paraId="11C8781C" w14:textId="77777777">
        <w:trPr>
          <w:cantSplit/>
          <w:trHeight w:val="60"/>
        </w:trPr>
        <w:tc>
          <w:tcPr>
            <w:tcW w:w="1871" w:type="dxa"/>
          </w:tcPr>
          <w:p w14:paraId="2291027B" w14:textId="77777777" w:rsidR="00DF4351" w:rsidRDefault="00DF4351">
            <w:pPr>
              <w:pStyle w:val="TableSideHeading"/>
            </w:pPr>
          </w:p>
        </w:tc>
        <w:tc>
          <w:tcPr>
            <w:tcW w:w="624" w:type="dxa"/>
          </w:tcPr>
          <w:p w14:paraId="3018DF02" w14:textId="77777777" w:rsidR="00DF4351" w:rsidRDefault="00DF4351" w:rsidP="00DF4351">
            <w:pPr>
              <w:pStyle w:val="TableText"/>
            </w:pPr>
          </w:p>
        </w:tc>
        <w:tc>
          <w:tcPr>
            <w:tcW w:w="624" w:type="dxa"/>
          </w:tcPr>
          <w:p w14:paraId="45301DA7" w14:textId="77777777" w:rsidR="00DF4351" w:rsidRDefault="00603B60">
            <w:pPr>
              <w:pStyle w:val="TableText"/>
            </w:pPr>
            <w:r>
              <w:rPr>
                <w:rFonts w:hint="cs"/>
                <w:rtl/>
              </w:rPr>
              <w:t>(1</w:t>
            </w:r>
            <w:r w:rsidR="00F459ED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6522" w:type="dxa"/>
            <w:gridSpan w:val="2"/>
          </w:tcPr>
          <w:p w14:paraId="61EE65E9" w14:textId="77777777" w:rsidR="00DF4351" w:rsidRPr="00DF4351" w:rsidRDefault="00DF4351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בתקנות מס רכוש וקרן פיצויים (ת</w:t>
            </w:r>
            <w:r w:rsidR="00832598">
              <w:rPr>
                <w:rFonts w:hint="cs"/>
                <w:rtl/>
              </w:rPr>
              <w:t>ש</w:t>
            </w:r>
            <w:r>
              <w:rPr>
                <w:rFonts w:hint="cs"/>
                <w:rtl/>
              </w:rPr>
              <w:t>לום פיצויים) (נזק מלחמה ונזק עקיף), התשל"ג-1973</w:t>
            </w:r>
            <w:r w:rsidR="0028571E">
              <w:rPr>
                <w:rStyle w:val="a7"/>
                <w:rtl/>
              </w:rPr>
              <w:footnoteReference w:id="14"/>
            </w:r>
            <w:r>
              <w:rPr>
                <w:rFonts w:hint="cs"/>
                <w:rtl/>
              </w:rPr>
              <w:t>:</w:t>
            </w:r>
          </w:p>
        </w:tc>
      </w:tr>
      <w:tr w:rsidR="00DF4351" w14:paraId="6363F0A6" w14:textId="77777777">
        <w:trPr>
          <w:cantSplit/>
          <w:trHeight w:val="60"/>
        </w:trPr>
        <w:tc>
          <w:tcPr>
            <w:tcW w:w="1871" w:type="dxa"/>
          </w:tcPr>
          <w:p w14:paraId="52B48331" w14:textId="77777777" w:rsidR="00DF4351" w:rsidRDefault="00DF4351">
            <w:pPr>
              <w:pStyle w:val="TableSideHeading"/>
            </w:pPr>
          </w:p>
        </w:tc>
        <w:tc>
          <w:tcPr>
            <w:tcW w:w="624" w:type="dxa"/>
          </w:tcPr>
          <w:p w14:paraId="7219D167" w14:textId="77777777" w:rsidR="00DF4351" w:rsidRDefault="00DF4351">
            <w:pPr>
              <w:pStyle w:val="TableText"/>
            </w:pPr>
          </w:p>
        </w:tc>
        <w:tc>
          <w:tcPr>
            <w:tcW w:w="624" w:type="dxa"/>
          </w:tcPr>
          <w:p w14:paraId="63835E1E" w14:textId="77777777" w:rsidR="00DF4351" w:rsidRDefault="00DF4351">
            <w:pPr>
              <w:pStyle w:val="TableText"/>
            </w:pPr>
          </w:p>
        </w:tc>
        <w:tc>
          <w:tcPr>
            <w:tcW w:w="624" w:type="dxa"/>
          </w:tcPr>
          <w:p w14:paraId="41BE8EEC" w14:textId="77777777" w:rsidR="00DF4351" w:rsidRDefault="00603B60">
            <w:pPr>
              <w:pStyle w:val="TableText"/>
            </w:pPr>
            <w:r>
              <w:rPr>
                <w:rFonts w:hint="cs"/>
                <w:rtl/>
              </w:rPr>
              <w:t>(א)</w:t>
            </w:r>
          </w:p>
        </w:tc>
        <w:tc>
          <w:tcPr>
            <w:tcW w:w="5898" w:type="dxa"/>
          </w:tcPr>
          <w:p w14:paraId="467DCE66" w14:textId="77777777" w:rsidR="00DF4351" w:rsidRDefault="00DF4351">
            <w:pPr>
              <w:pStyle w:val="TableBlock"/>
            </w:pPr>
            <w:r>
              <w:rPr>
                <w:rFonts w:hint="cs"/>
                <w:rtl/>
              </w:rPr>
              <w:t>תקנה 9(א);</w:t>
            </w:r>
          </w:p>
        </w:tc>
      </w:tr>
      <w:tr w:rsidR="00DF4351" w14:paraId="5F6BA966" w14:textId="77777777">
        <w:trPr>
          <w:cantSplit/>
          <w:trHeight w:val="60"/>
        </w:trPr>
        <w:tc>
          <w:tcPr>
            <w:tcW w:w="1871" w:type="dxa"/>
          </w:tcPr>
          <w:p w14:paraId="0C140918" w14:textId="77777777" w:rsidR="00DF4351" w:rsidRDefault="00DF4351">
            <w:pPr>
              <w:pStyle w:val="TableSideHeading"/>
            </w:pPr>
          </w:p>
        </w:tc>
        <w:tc>
          <w:tcPr>
            <w:tcW w:w="624" w:type="dxa"/>
          </w:tcPr>
          <w:p w14:paraId="77AD89B3" w14:textId="77777777" w:rsidR="00DF4351" w:rsidRDefault="00DF4351" w:rsidP="00DF4351">
            <w:pPr>
              <w:pStyle w:val="TableText"/>
            </w:pPr>
          </w:p>
        </w:tc>
        <w:tc>
          <w:tcPr>
            <w:tcW w:w="624" w:type="dxa"/>
          </w:tcPr>
          <w:p w14:paraId="578889C4" w14:textId="77777777" w:rsidR="00DF4351" w:rsidRDefault="00DF4351">
            <w:pPr>
              <w:pStyle w:val="TableText"/>
            </w:pPr>
          </w:p>
        </w:tc>
        <w:tc>
          <w:tcPr>
            <w:tcW w:w="624" w:type="dxa"/>
          </w:tcPr>
          <w:p w14:paraId="2C1A1A37" w14:textId="77777777" w:rsidR="00DF4351" w:rsidRDefault="001E1AE3">
            <w:pPr>
              <w:pStyle w:val="TableText"/>
            </w:pPr>
            <w:r>
              <w:rPr>
                <w:rFonts w:hint="cs"/>
                <w:rtl/>
              </w:rPr>
              <w:t>(ב)</w:t>
            </w:r>
          </w:p>
        </w:tc>
        <w:tc>
          <w:tcPr>
            <w:tcW w:w="5898" w:type="dxa"/>
          </w:tcPr>
          <w:p w14:paraId="006C8D0C" w14:textId="77777777" w:rsidR="00DF4351" w:rsidRDefault="00DF4351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תקנה 11</w:t>
            </w:r>
            <w:r w:rsidR="006E7031">
              <w:rPr>
                <w:rFonts w:hint="cs"/>
                <w:rtl/>
              </w:rPr>
              <w:t>;</w:t>
            </w:r>
          </w:p>
        </w:tc>
      </w:tr>
      <w:tr w:rsidR="00403F4D" w14:paraId="7D99536A" w14:textId="77777777">
        <w:trPr>
          <w:cantSplit/>
          <w:trHeight w:val="60"/>
        </w:trPr>
        <w:tc>
          <w:tcPr>
            <w:tcW w:w="1871" w:type="dxa"/>
          </w:tcPr>
          <w:p w14:paraId="404E960E" w14:textId="77777777" w:rsidR="00403F4D" w:rsidRDefault="00403F4D">
            <w:pPr>
              <w:pStyle w:val="TableSideHeading"/>
            </w:pPr>
          </w:p>
        </w:tc>
        <w:tc>
          <w:tcPr>
            <w:tcW w:w="624" w:type="dxa"/>
          </w:tcPr>
          <w:p w14:paraId="21DF80E3" w14:textId="77777777" w:rsidR="00403F4D" w:rsidRDefault="00403F4D">
            <w:pPr>
              <w:pStyle w:val="TableText"/>
            </w:pPr>
          </w:p>
        </w:tc>
        <w:tc>
          <w:tcPr>
            <w:tcW w:w="624" w:type="dxa"/>
          </w:tcPr>
          <w:p w14:paraId="16604A3A" w14:textId="77777777" w:rsidR="00403F4D" w:rsidRDefault="00603B60">
            <w:pPr>
              <w:pStyle w:val="TableText"/>
            </w:pPr>
            <w:r>
              <w:rPr>
                <w:rFonts w:hint="cs"/>
                <w:rtl/>
              </w:rPr>
              <w:t>(1</w:t>
            </w:r>
            <w:r w:rsidR="00F459ED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6522" w:type="dxa"/>
            <w:gridSpan w:val="2"/>
          </w:tcPr>
          <w:p w14:paraId="070C4AAC" w14:textId="77777777" w:rsidR="00403F4D" w:rsidRDefault="00403F4D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בחוק מיסוי רווחים ממשאבי טבע, התשע"א-2011</w:t>
            </w:r>
            <w:r w:rsidR="0028571E">
              <w:rPr>
                <w:rStyle w:val="a7"/>
                <w:rtl/>
              </w:rPr>
              <w:footnoteReference w:id="15"/>
            </w:r>
            <w:r>
              <w:rPr>
                <w:rFonts w:hint="cs"/>
                <w:rtl/>
              </w:rPr>
              <w:t>:</w:t>
            </w:r>
          </w:p>
        </w:tc>
      </w:tr>
      <w:tr w:rsidR="00403F4D" w14:paraId="7BAAEBB2" w14:textId="77777777">
        <w:trPr>
          <w:cantSplit/>
          <w:trHeight w:val="60"/>
        </w:trPr>
        <w:tc>
          <w:tcPr>
            <w:tcW w:w="1871" w:type="dxa"/>
          </w:tcPr>
          <w:p w14:paraId="7E220CC7" w14:textId="77777777" w:rsidR="00403F4D" w:rsidRDefault="00403F4D">
            <w:pPr>
              <w:pStyle w:val="TableSideHeading"/>
            </w:pPr>
          </w:p>
        </w:tc>
        <w:tc>
          <w:tcPr>
            <w:tcW w:w="624" w:type="dxa"/>
          </w:tcPr>
          <w:p w14:paraId="7B51377C" w14:textId="77777777" w:rsidR="00403F4D" w:rsidRDefault="00403F4D">
            <w:pPr>
              <w:pStyle w:val="TableText"/>
            </w:pPr>
          </w:p>
        </w:tc>
        <w:tc>
          <w:tcPr>
            <w:tcW w:w="624" w:type="dxa"/>
          </w:tcPr>
          <w:p w14:paraId="75CA805D" w14:textId="77777777" w:rsidR="00403F4D" w:rsidRDefault="00403F4D">
            <w:pPr>
              <w:pStyle w:val="TableText"/>
            </w:pPr>
          </w:p>
        </w:tc>
        <w:tc>
          <w:tcPr>
            <w:tcW w:w="624" w:type="dxa"/>
          </w:tcPr>
          <w:p w14:paraId="74AB5469" w14:textId="77777777" w:rsidR="00403F4D" w:rsidRDefault="00403F4D">
            <w:pPr>
              <w:pStyle w:val="TableText"/>
            </w:pPr>
            <w:r>
              <w:rPr>
                <w:rFonts w:hint="cs"/>
                <w:rtl/>
              </w:rPr>
              <w:t>(א)</w:t>
            </w:r>
          </w:p>
        </w:tc>
        <w:tc>
          <w:tcPr>
            <w:tcW w:w="5898" w:type="dxa"/>
          </w:tcPr>
          <w:p w14:paraId="6BD23E3F" w14:textId="77777777" w:rsidR="00403F4D" w:rsidRDefault="00403F4D">
            <w:pPr>
              <w:pStyle w:val="TableBlock"/>
            </w:pPr>
            <w:r>
              <w:rPr>
                <w:rFonts w:hint="cs"/>
                <w:rtl/>
              </w:rPr>
              <w:t>סעיף 14(ב);</w:t>
            </w:r>
          </w:p>
        </w:tc>
      </w:tr>
      <w:tr w:rsidR="00403F4D" w14:paraId="727CB038" w14:textId="77777777">
        <w:trPr>
          <w:cantSplit/>
          <w:trHeight w:val="60"/>
        </w:trPr>
        <w:tc>
          <w:tcPr>
            <w:tcW w:w="1871" w:type="dxa"/>
          </w:tcPr>
          <w:p w14:paraId="672112C2" w14:textId="77777777" w:rsidR="00403F4D" w:rsidRDefault="00403F4D">
            <w:pPr>
              <w:pStyle w:val="TableSideHeading"/>
            </w:pPr>
          </w:p>
        </w:tc>
        <w:tc>
          <w:tcPr>
            <w:tcW w:w="624" w:type="dxa"/>
          </w:tcPr>
          <w:p w14:paraId="7AD9897E" w14:textId="77777777" w:rsidR="00403F4D" w:rsidRDefault="00403F4D" w:rsidP="00403F4D">
            <w:pPr>
              <w:pStyle w:val="TableText"/>
            </w:pPr>
          </w:p>
        </w:tc>
        <w:tc>
          <w:tcPr>
            <w:tcW w:w="624" w:type="dxa"/>
          </w:tcPr>
          <w:p w14:paraId="067CB1FE" w14:textId="77777777" w:rsidR="00403F4D" w:rsidRDefault="00403F4D">
            <w:pPr>
              <w:pStyle w:val="TableText"/>
            </w:pPr>
          </w:p>
        </w:tc>
        <w:tc>
          <w:tcPr>
            <w:tcW w:w="624" w:type="dxa"/>
          </w:tcPr>
          <w:p w14:paraId="78C523A1" w14:textId="77777777" w:rsidR="00403F4D" w:rsidRDefault="00403F4D">
            <w:pPr>
              <w:pStyle w:val="TableText"/>
            </w:pPr>
            <w:r>
              <w:rPr>
                <w:rFonts w:hint="cs"/>
                <w:rtl/>
              </w:rPr>
              <w:t>(ב)</w:t>
            </w:r>
          </w:p>
        </w:tc>
        <w:tc>
          <w:tcPr>
            <w:tcW w:w="5898" w:type="dxa"/>
          </w:tcPr>
          <w:p w14:paraId="3DF4C6D5" w14:textId="77777777" w:rsidR="00403F4D" w:rsidRDefault="00403F4D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סעיף 15(א) ו-(ד);</w:t>
            </w:r>
          </w:p>
        </w:tc>
      </w:tr>
      <w:tr w:rsidR="00403F4D" w14:paraId="39B9B146" w14:textId="77777777">
        <w:trPr>
          <w:cantSplit/>
          <w:trHeight w:val="60"/>
        </w:trPr>
        <w:tc>
          <w:tcPr>
            <w:tcW w:w="1871" w:type="dxa"/>
          </w:tcPr>
          <w:p w14:paraId="34814231" w14:textId="77777777" w:rsidR="00403F4D" w:rsidRDefault="00403F4D">
            <w:pPr>
              <w:pStyle w:val="TableSideHeading"/>
            </w:pPr>
          </w:p>
        </w:tc>
        <w:tc>
          <w:tcPr>
            <w:tcW w:w="624" w:type="dxa"/>
          </w:tcPr>
          <w:p w14:paraId="5DD5105D" w14:textId="77777777" w:rsidR="00403F4D" w:rsidRDefault="00403F4D" w:rsidP="00403F4D">
            <w:pPr>
              <w:pStyle w:val="TableText"/>
            </w:pPr>
          </w:p>
        </w:tc>
        <w:tc>
          <w:tcPr>
            <w:tcW w:w="624" w:type="dxa"/>
          </w:tcPr>
          <w:p w14:paraId="51E1B353" w14:textId="77777777" w:rsidR="00403F4D" w:rsidRDefault="00403F4D">
            <w:pPr>
              <w:pStyle w:val="TableText"/>
            </w:pPr>
          </w:p>
        </w:tc>
        <w:tc>
          <w:tcPr>
            <w:tcW w:w="624" w:type="dxa"/>
          </w:tcPr>
          <w:p w14:paraId="5AA95470" w14:textId="77777777" w:rsidR="00403F4D" w:rsidRDefault="00403F4D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(ג)</w:t>
            </w:r>
          </w:p>
        </w:tc>
        <w:tc>
          <w:tcPr>
            <w:tcW w:w="5898" w:type="dxa"/>
          </w:tcPr>
          <w:p w14:paraId="2D192BFF" w14:textId="77777777" w:rsidR="00403F4D" w:rsidRDefault="00403F4D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סעיף 20טזא;</w:t>
            </w:r>
          </w:p>
        </w:tc>
      </w:tr>
      <w:tr w:rsidR="004C5F6A" w14:paraId="33A346B5" w14:textId="77777777">
        <w:trPr>
          <w:cantSplit/>
          <w:trHeight w:val="60"/>
        </w:trPr>
        <w:tc>
          <w:tcPr>
            <w:tcW w:w="1871" w:type="dxa"/>
          </w:tcPr>
          <w:p w14:paraId="23D2A9E4" w14:textId="77777777" w:rsidR="004C5F6A" w:rsidRDefault="004C5F6A">
            <w:pPr>
              <w:pStyle w:val="TableSideHeading"/>
            </w:pPr>
          </w:p>
        </w:tc>
        <w:tc>
          <w:tcPr>
            <w:tcW w:w="624" w:type="dxa"/>
          </w:tcPr>
          <w:p w14:paraId="63CC5309" w14:textId="77777777" w:rsidR="004C5F6A" w:rsidRDefault="004C5F6A">
            <w:pPr>
              <w:pStyle w:val="TableText"/>
            </w:pPr>
          </w:p>
        </w:tc>
        <w:tc>
          <w:tcPr>
            <w:tcW w:w="624" w:type="dxa"/>
          </w:tcPr>
          <w:p w14:paraId="309A7DDA" w14:textId="77777777" w:rsidR="004C5F6A" w:rsidRDefault="004C5F6A">
            <w:pPr>
              <w:pStyle w:val="TableText"/>
            </w:pPr>
            <w:r>
              <w:rPr>
                <w:rFonts w:hint="cs"/>
                <w:rtl/>
              </w:rPr>
              <w:t>(</w:t>
            </w:r>
            <w:r w:rsidR="00E66856">
              <w:rPr>
                <w:rFonts w:hint="cs"/>
                <w:rtl/>
              </w:rPr>
              <w:t>15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6522" w:type="dxa"/>
            <w:gridSpan w:val="2"/>
          </w:tcPr>
          <w:p w14:paraId="31DAD828" w14:textId="77777777" w:rsidR="004C5F6A" w:rsidRDefault="004C5F6A">
            <w:pPr>
              <w:pStyle w:val="TableBlock"/>
            </w:pPr>
            <w:r w:rsidRPr="00E66856">
              <w:rPr>
                <w:rFonts w:hint="cs"/>
                <w:rtl/>
              </w:rPr>
              <w:t>בחוק התכנית לסיוע כלכלי (נגיף הקורונה החדש)(הוראת שעה)</w:t>
            </w:r>
            <w:r w:rsidR="006901F6">
              <w:rPr>
                <w:rFonts w:hint="cs"/>
                <w:rtl/>
              </w:rPr>
              <w:t xml:space="preserve">, </w:t>
            </w:r>
            <w:r w:rsidRPr="00E66856">
              <w:rPr>
                <w:rFonts w:hint="cs"/>
                <w:rtl/>
              </w:rPr>
              <w:t xml:space="preserve"> התש"ף-2020</w:t>
            </w:r>
            <w:r w:rsidRPr="00E66856">
              <w:rPr>
                <w:rStyle w:val="a7"/>
                <w:rtl/>
              </w:rPr>
              <w:footnoteReference w:id="16"/>
            </w:r>
            <w:r w:rsidRPr="00E66856">
              <w:rPr>
                <w:rFonts w:hint="cs"/>
                <w:rtl/>
              </w:rPr>
              <w:t>-</w:t>
            </w:r>
          </w:p>
        </w:tc>
      </w:tr>
      <w:tr w:rsidR="004C5F6A" w14:paraId="57FEFD57" w14:textId="77777777">
        <w:trPr>
          <w:cantSplit/>
          <w:trHeight w:val="60"/>
        </w:trPr>
        <w:tc>
          <w:tcPr>
            <w:tcW w:w="1871" w:type="dxa"/>
          </w:tcPr>
          <w:p w14:paraId="19DC4EDF" w14:textId="77777777" w:rsidR="004C5F6A" w:rsidRDefault="004C5F6A">
            <w:pPr>
              <w:pStyle w:val="TableSideHeading"/>
            </w:pPr>
          </w:p>
        </w:tc>
        <w:tc>
          <w:tcPr>
            <w:tcW w:w="624" w:type="dxa"/>
          </w:tcPr>
          <w:p w14:paraId="33CA6E92" w14:textId="77777777" w:rsidR="004C5F6A" w:rsidRDefault="004C5F6A">
            <w:pPr>
              <w:pStyle w:val="TableText"/>
            </w:pPr>
          </w:p>
        </w:tc>
        <w:tc>
          <w:tcPr>
            <w:tcW w:w="624" w:type="dxa"/>
          </w:tcPr>
          <w:p w14:paraId="78009B4C" w14:textId="77777777" w:rsidR="004C5F6A" w:rsidRDefault="004C5F6A">
            <w:pPr>
              <w:pStyle w:val="TableText"/>
            </w:pPr>
          </w:p>
        </w:tc>
        <w:tc>
          <w:tcPr>
            <w:tcW w:w="624" w:type="dxa"/>
          </w:tcPr>
          <w:p w14:paraId="4A529EA8" w14:textId="77777777" w:rsidR="004C5F6A" w:rsidRDefault="004C5F6A">
            <w:pPr>
              <w:pStyle w:val="TableText"/>
            </w:pPr>
            <w:r>
              <w:rPr>
                <w:rFonts w:hint="cs"/>
                <w:rtl/>
              </w:rPr>
              <w:t>(א)</w:t>
            </w:r>
          </w:p>
        </w:tc>
        <w:tc>
          <w:tcPr>
            <w:tcW w:w="5898" w:type="dxa"/>
          </w:tcPr>
          <w:p w14:paraId="5E9D6A2C" w14:textId="77777777" w:rsidR="004C5F6A" w:rsidRDefault="004C5F6A">
            <w:pPr>
              <w:pStyle w:val="TableBlock"/>
            </w:pPr>
            <w:r>
              <w:rPr>
                <w:rFonts w:hint="cs"/>
                <w:rtl/>
              </w:rPr>
              <w:t>סעיף 12;</w:t>
            </w:r>
          </w:p>
        </w:tc>
      </w:tr>
      <w:tr w:rsidR="004C5F6A" w14:paraId="49BE9B78" w14:textId="77777777">
        <w:trPr>
          <w:cantSplit/>
          <w:trHeight w:val="60"/>
        </w:trPr>
        <w:tc>
          <w:tcPr>
            <w:tcW w:w="1871" w:type="dxa"/>
          </w:tcPr>
          <w:p w14:paraId="6C49C6E6" w14:textId="77777777" w:rsidR="004C5F6A" w:rsidRDefault="004C5F6A">
            <w:pPr>
              <w:pStyle w:val="TableSideHeading"/>
            </w:pPr>
          </w:p>
        </w:tc>
        <w:tc>
          <w:tcPr>
            <w:tcW w:w="624" w:type="dxa"/>
          </w:tcPr>
          <w:p w14:paraId="65604CA7" w14:textId="77777777" w:rsidR="004C5F6A" w:rsidRDefault="004C5F6A" w:rsidP="004C5F6A">
            <w:pPr>
              <w:pStyle w:val="TableText"/>
            </w:pPr>
          </w:p>
        </w:tc>
        <w:tc>
          <w:tcPr>
            <w:tcW w:w="624" w:type="dxa"/>
          </w:tcPr>
          <w:p w14:paraId="3A69A079" w14:textId="77777777" w:rsidR="004C5F6A" w:rsidRDefault="004C5F6A">
            <w:pPr>
              <w:pStyle w:val="TableText"/>
            </w:pPr>
          </w:p>
        </w:tc>
        <w:tc>
          <w:tcPr>
            <w:tcW w:w="624" w:type="dxa"/>
          </w:tcPr>
          <w:p w14:paraId="013E1AD3" w14:textId="77777777" w:rsidR="004C5F6A" w:rsidRDefault="004C5F6A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(ב)</w:t>
            </w:r>
          </w:p>
        </w:tc>
        <w:tc>
          <w:tcPr>
            <w:tcW w:w="5898" w:type="dxa"/>
          </w:tcPr>
          <w:p w14:paraId="4697D476" w14:textId="77777777" w:rsidR="004C5F6A" w:rsidRDefault="004C5F6A">
            <w:pPr>
              <w:pStyle w:val="TableBlock"/>
            </w:pPr>
            <w:r>
              <w:rPr>
                <w:rFonts w:hint="cs"/>
                <w:rtl/>
              </w:rPr>
              <w:t>סעיף 20(א)</w:t>
            </w:r>
            <w:r w:rsidR="006901F6">
              <w:rPr>
                <w:rFonts w:hint="cs"/>
                <w:rtl/>
              </w:rPr>
              <w:t>;</w:t>
            </w:r>
          </w:p>
        </w:tc>
      </w:tr>
      <w:tr w:rsidR="00745E11" w14:paraId="56F15898" w14:textId="77777777">
        <w:trPr>
          <w:cantSplit/>
          <w:trHeight w:val="60"/>
        </w:trPr>
        <w:tc>
          <w:tcPr>
            <w:tcW w:w="1871" w:type="dxa"/>
          </w:tcPr>
          <w:p w14:paraId="305F1F6A" w14:textId="77777777" w:rsidR="00745E11" w:rsidRDefault="00745E11">
            <w:pPr>
              <w:pStyle w:val="TableSideHeading"/>
            </w:pPr>
          </w:p>
        </w:tc>
        <w:tc>
          <w:tcPr>
            <w:tcW w:w="624" w:type="dxa"/>
          </w:tcPr>
          <w:p w14:paraId="4C44F0A9" w14:textId="77777777" w:rsidR="00745E11" w:rsidRDefault="00745E11" w:rsidP="00745E11">
            <w:pPr>
              <w:pStyle w:val="TableText"/>
            </w:pPr>
          </w:p>
        </w:tc>
        <w:tc>
          <w:tcPr>
            <w:tcW w:w="624" w:type="dxa"/>
          </w:tcPr>
          <w:p w14:paraId="0BD1645B" w14:textId="77777777" w:rsidR="00745E11" w:rsidRDefault="00846444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0E66856">
              <w:rPr>
                <w:rFonts w:hint="cs"/>
                <w:rtl/>
              </w:rPr>
              <w:t>16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6522" w:type="dxa"/>
            <w:gridSpan w:val="2"/>
          </w:tcPr>
          <w:p w14:paraId="7B03AC2E" w14:textId="77777777" w:rsidR="00745E11" w:rsidRPr="00E66856" w:rsidRDefault="00807B76">
            <w:pPr>
              <w:pStyle w:val="TableBlock"/>
              <w:rPr>
                <w:rtl/>
              </w:rPr>
            </w:pPr>
            <w:r w:rsidRPr="00E66856">
              <w:rPr>
                <w:rFonts w:hint="cs"/>
                <w:rtl/>
              </w:rPr>
              <w:t>ב</w:t>
            </w:r>
            <w:r w:rsidR="00745E11" w:rsidRPr="00E66856">
              <w:rPr>
                <w:rtl/>
              </w:rPr>
              <w:t>חוק מענק סיוע לעסקים בשל ההשפעה הכלכלית של התפשטות זן אומיקרון של נגיף הקורונה החדש (הוראת שעה), תשפ"ב-2022</w:t>
            </w:r>
            <w:r w:rsidRPr="00E66856">
              <w:rPr>
                <w:rStyle w:val="a7"/>
                <w:rtl/>
              </w:rPr>
              <w:footnoteReference w:id="17"/>
            </w:r>
            <w:r w:rsidRPr="00E66856">
              <w:rPr>
                <w:rFonts w:hint="cs"/>
                <w:rtl/>
              </w:rPr>
              <w:t>-</w:t>
            </w:r>
          </w:p>
        </w:tc>
      </w:tr>
      <w:tr w:rsidR="00807B76" w14:paraId="3BB64DF4" w14:textId="77777777">
        <w:trPr>
          <w:cantSplit/>
          <w:trHeight w:val="60"/>
        </w:trPr>
        <w:tc>
          <w:tcPr>
            <w:tcW w:w="1871" w:type="dxa"/>
          </w:tcPr>
          <w:p w14:paraId="03E0B10A" w14:textId="77777777" w:rsidR="00807B76" w:rsidRDefault="00807B76">
            <w:pPr>
              <w:pStyle w:val="TableSideHeading"/>
            </w:pPr>
          </w:p>
        </w:tc>
        <w:tc>
          <w:tcPr>
            <w:tcW w:w="624" w:type="dxa"/>
          </w:tcPr>
          <w:p w14:paraId="5DF47CBC" w14:textId="77777777" w:rsidR="00807B76" w:rsidRDefault="00807B76">
            <w:pPr>
              <w:pStyle w:val="TableText"/>
            </w:pPr>
          </w:p>
        </w:tc>
        <w:tc>
          <w:tcPr>
            <w:tcW w:w="624" w:type="dxa"/>
          </w:tcPr>
          <w:p w14:paraId="076229AB" w14:textId="77777777" w:rsidR="00807B76" w:rsidRDefault="00807B76">
            <w:pPr>
              <w:pStyle w:val="TableText"/>
            </w:pPr>
          </w:p>
        </w:tc>
        <w:tc>
          <w:tcPr>
            <w:tcW w:w="624" w:type="dxa"/>
          </w:tcPr>
          <w:p w14:paraId="5BE531C7" w14:textId="77777777" w:rsidR="00807B76" w:rsidRDefault="00846444">
            <w:pPr>
              <w:pStyle w:val="TableText"/>
            </w:pPr>
            <w:r>
              <w:rPr>
                <w:rFonts w:hint="cs"/>
                <w:rtl/>
              </w:rPr>
              <w:t>(א)</w:t>
            </w:r>
          </w:p>
        </w:tc>
        <w:tc>
          <w:tcPr>
            <w:tcW w:w="5898" w:type="dxa"/>
          </w:tcPr>
          <w:p w14:paraId="02B38307" w14:textId="77777777" w:rsidR="00807B76" w:rsidRDefault="00807B76">
            <w:pPr>
              <w:pStyle w:val="TableBlock"/>
            </w:pPr>
            <w:r>
              <w:rPr>
                <w:rFonts w:hint="cs"/>
                <w:rtl/>
              </w:rPr>
              <w:t>סעיף 6;</w:t>
            </w:r>
          </w:p>
        </w:tc>
      </w:tr>
      <w:tr w:rsidR="00807B76" w14:paraId="1F020B54" w14:textId="77777777">
        <w:trPr>
          <w:cantSplit/>
          <w:trHeight w:val="60"/>
        </w:trPr>
        <w:tc>
          <w:tcPr>
            <w:tcW w:w="1871" w:type="dxa"/>
          </w:tcPr>
          <w:p w14:paraId="5BD95C23" w14:textId="77777777" w:rsidR="00807B76" w:rsidRDefault="00807B76">
            <w:pPr>
              <w:pStyle w:val="TableSideHeading"/>
            </w:pPr>
          </w:p>
        </w:tc>
        <w:tc>
          <w:tcPr>
            <w:tcW w:w="624" w:type="dxa"/>
          </w:tcPr>
          <w:p w14:paraId="3CB09B08" w14:textId="77777777" w:rsidR="00807B76" w:rsidRDefault="00807B76" w:rsidP="00807B76">
            <w:pPr>
              <w:pStyle w:val="TableText"/>
            </w:pPr>
          </w:p>
        </w:tc>
        <w:tc>
          <w:tcPr>
            <w:tcW w:w="624" w:type="dxa"/>
          </w:tcPr>
          <w:p w14:paraId="5E386675" w14:textId="77777777" w:rsidR="00807B76" w:rsidRDefault="00807B76">
            <w:pPr>
              <w:pStyle w:val="TableText"/>
            </w:pPr>
          </w:p>
        </w:tc>
        <w:tc>
          <w:tcPr>
            <w:tcW w:w="624" w:type="dxa"/>
          </w:tcPr>
          <w:p w14:paraId="34BF8D91" w14:textId="77777777" w:rsidR="00807B76" w:rsidRDefault="00846444">
            <w:pPr>
              <w:pStyle w:val="TableText"/>
            </w:pPr>
            <w:r>
              <w:rPr>
                <w:rFonts w:hint="cs"/>
                <w:rtl/>
              </w:rPr>
              <w:t>(ב)</w:t>
            </w:r>
          </w:p>
        </w:tc>
        <w:tc>
          <w:tcPr>
            <w:tcW w:w="5898" w:type="dxa"/>
          </w:tcPr>
          <w:p w14:paraId="33A6BF34" w14:textId="77777777" w:rsidR="00807B76" w:rsidRDefault="00807B76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סעיף 15(א)(1).</w:t>
            </w:r>
          </w:p>
        </w:tc>
      </w:tr>
      <w:tr w:rsidR="0021575E" w14:paraId="5D213D13" w14:textId="77777777">
        <w:trPr>
          <w:cantSplit/>
          <w:trHeight w:val="60"/>
        </w:trPr>
        <w:tc>
          <w:tcPr>
            <w:tcW w:w="1871" w:type="dxa"/>
          </w:tcPr>
          <w:p w14:paraId="2C795C66" w14:textId="77777777" w:rsidR="0021575E" w:rsidRDefault="00065C2B">
            <w:pPr>
              <w:pStyle w:val="TableSideHeading"/>
            </w:pPr>
            <w:bookmarkStart w:id="30" w:name="_Toc149638413"/>
            <w:bookmarkStart w:id="31" w:name="_Toc149638433"/>
            <w:bookmarkStart w:id="32" w:name="_Toc149638477"/>
            <w:bookmarkStart w:id="33" w:name="_Toc149664518"/>
            <w:r>
              <w:rPr>
                <w:rFonts w:hint="cs"/>
                <w:rtl/>
              </w:rPr>
              <w:t xml:space="preserve">הארכת תקופות לעניין </w:t>
            </w:r>
            <w:r w:rsidR="000328BD">
              <w:rPr>
                <w:rFonts w:hint="cs"/>
                <w:rtl/>
              </w:rPr>
              <w:t xml:space="preserve">דירת מגורים </w:t>
            </w:r>
            <w:r w:rsidR="00F023E3">
              <w:rPr>
                <w:rFonts w:hint="cs"/>
                <w:rtl/>
              </w:rPr>
              <w:t>יחיד</w:t>
            </w:r>
            <w:r w:rsidR="000328BD">
              <w:rPr>
                <w:rFonts w:hint="cs"/>
                <w:rtl/>
              </w:rPr>
              <w:t>ה</w:t>
            </w:r>
            <w:r>
              <w:rPr>
                <w:rFonts w:hint="cs"/>
                <w:rtl/>
              </w:rPr>
              <w:t xml:space="preserve"> בחוק מיסוי מקרקעין</w:t>
            </w:r>
            <w:bookmarkEnd w:id="30"/>
            <w:bookmarkEnd w:id="31"/>
            <w:bookmarkEnd w:id="32"/>
            <w:bookmarkEnd w:id="33"/>
          </w:p>
        </w:tc>
        <w:tc>
          <w:tcPr>
            <w:tcW w:w="624" w:type="dxa"/>
          </w:tcPr>
          <w:p w14:paraId="46DA8873" w14:textId="77777777" w:rsidR="0021575E" w:rsidRDefault="0021575E" w:rsidP="0021575E">
            <w:pPr>
              <w:pStyle w:val="TableText"/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7146" w:type="dxa"/>
            <w:gridSpan w:val="3"/>
          </w:tcPr>
          <w:p w14:paraId="48B183FC" w14:textId="77777777" w:rsidR="0021575E" w:rsidRPr="00000C68" w:rsidRDefault="00294F23" w:rsidP="00294F23">
            <w:r w:rsidRPr="00000C68">
              <w:rPr>
                <w:rFonts w:hint="cs"/>
                <w:sz w:val="26"/>
                <w:szCs w:val="26"/>
                <w:rtl/>
              </w:rPr>
              <w:t>בסעיף זה</w:t>
            </w:r>
            <w:r w:rsidR="00545F07" w:rsidRPr="00000C68">
              <w:rPr>
                <w:rFonts w:hint="cs"/>
                <w:sz w:val="26"/>
                <w:szCs w:val="26"/>
                <w:rtl/>
              </w:rPr>
              <w:t>-</w:t>
            </w:r>
          </w:p>
        </w:tc>
      </w:tr>
      <w:tr w:rsidR="00545F07" w14:paraId="043279CF" w14:textId="77777777">
        <w:trPr>
          <w:cantSplit/>
          <w:trHeight w:val="60"/>
        </w:trPr>
        <w:tc>
          <w:tcPr>
            <w:tcW w:w="1871" w:type="dxa"/>
          </w:tcPr>
          <w:p w14:paraId="5F30FCA2" w14:textId="77777777" w:rsidR="00545F07" w:rsidRDefault="00545F07">
            <w:pPr>
              <w:pStyle w:val="TableSideHeading"/>
            </w:pPr>
          </w:p>
        </w:tc>
        <w:tc>
          <w:tcPr>
            <w:tcW w:w="624" w:type="dxa"/>
          </w:tcPr>
          <w:p w14:paraId="7558C0EB" w14:textId="77777777" w:rsidR="00545F07" w:rsidRDefault="00545F07">
            <w:pPr>
              <w:pStyle w:val="TableText"/>
            </w:pPr>
          </w:p>
        </w:tc>
        <w:tc>
          <w:tcPr>
            <w:tcW w:w="624" w:type="dxa"/>
          </w:tcPr>
          <w:p w14:paraId="68EDF10D" w14:textId="77777777" w:rsidR="00545F07" w:rsidRDefault="00545F07" w:rsidP="00545F07">
            <w:pPr>
              <w:pStyle w:val="TableText"/>
              <w:numPr>
                <w:ilvl w:val="0"/>
                <w:numId w:val="36"/>
              </w:numPr>
            </w:pPr>
          </w:p>
        </w:tc>
        <w:tc>
          <w:tcPr>
            <w:tcW w:w="6522" w:type="dxa"/>
            <w:gridSpan w:val="2"/>
          </w:tcPr>
          <w:p w14:paraId="0B457F54" w14:textId="77777777" w:rsidR="00545F07" w:rsidRPr="00000C68" w:rsidRDefault="00545F07">
            <w:pPr>
              <w:pStyle w:val="TableBlock"/>
            </w:pPr>
            <w:r w:rsidRPr="00000C68">
              <w:rPr>
                <w:rFonts w:hint="cs"/>
                <w:sz w:val="26"/>
                <w:rtl/>
              </w:rPr>
              <w:t>"הוראות חוק מיסוי מקרקעין"- אחד מאלה:</w:t>
            </w:r>
          </w:p>
        </w:tc>
      </w:tr>
      <w:tr w:rsidR="00545F07" w14:paraId="37081528" w14:textId="77777777">
        <w:trPr>
          <w:cantSplit/>
          <w:trHeight w:val="60"/>
        </w:trPr>
        <w:tc>
          <w:tcPr>
            <w:tcW w:w="1871" w:type="dxa"/>
          </w:tcPr>
          <w:p w14:paraId="1F77A7D5" w14:textId="77777777" w:rsidR="00545F07" w:rsidRDefault="00545F07" w:rsidP="00545F07">
            <w:pPr>
              <w:pStyle w:val="TableSideHeading"/>
            </w:pPr>
          </w:p>
        </w:tc>
        <w:tc>
          <w:tcPr>
            <w:tcW w:w="624" w:type="dxa"/>
          </w:tcPr>
          <w:p w14:paraId="4C6E619B" w14:textId="77777777" w:rsidR="00545F07" w:rsidRDefault="00545F07" w:rsidP="00545F07">
            <w:pPr>
              <w:pStyle w:val="TableText"/>
            </w:pPr>
          </w:p>
        </w:tc>
        <w:tc>
          <w:tcPr>
            <w:tcW w:w="624" w:type="dxa"/>
          </w:tcPr>
          <w:p w14:paraId="41A35F3C" w14:textId="77777777" w:rsidR="00545F07" w:rsidRDefault="00545F07" w:rsidP="00545F07">
            <w:pPr>
              <w:pStyle w:val="TableText"/>
            </w:pPr>
          </w:p>
        </w:tc>
        <w:tc>
          <w:tcPr>
            <w:tcW w:w="6522" w:type="dxa"/>
            <w:gridSpan w:val="2"/>
          </w:tcPr>
          <w:p w14:paraId="3389582A" w14:textId="77777777" w:rsidR="00545F07" w:rsidRPr="00000C68" w:rsidRDefault="00545F07" w:rsidP="00545F07">
            <w:pPr>
              <w:pStyle w:val="TableBlock"/>
              <w:numPr>
                <w:ilvl w:val="0"/>
                <w:numId w:val="35"/>
              </w:numPr>
            </w:pPr>
            <w:r w:rsidRPr="00000C68">
              <w:rPr>
                <w:rFonts w:hint="cs"/>
                <w:rtl/>
              </w:rPr>
              <w:t>סעיף 9(ג1ג)(2)(ב), (ג1ג)(2)(ב1)(2)(ב) ו-(ג1ג)(2)(4)(ב);</w:t>
            </w:r>
          </w:p>
        </w:tc>
      </w:tr>
      <w:tr w:rsidR="00545F07" w14:paraId="6AE38D10" w14:textId="77777777">
        <w:trPr>
          <w:cantSplit/>
          <w:trHeight w:val="60"/>
        </w:trPr>
        <w:tc>
          <w:tcPr>
            <w:tcW w:w="1871" w:type="dxa"/>
          </w:tcPr>
          <w:p w14:paraId="4C206776" w14:textId="77777777" w:rsidR="00545F07" w:rsidRDefault="00545F07" w:rsidP="00545F07">
            <w:pPr>
              <w:pStyle w:val="TableSideHeading"/>
            </w:pPr>
          </w:p>
        </w:tc>
        <w:tc>
          <w:tcPr>
            <w:tcW w:w="624" w:type="dxa"/>
          </w:tcPr>
          <w:p w14:paraId="122E0218" w14:textId="77777777" w:rsidR="00545F07" w:rsidRDefault="00545F07" w:rsidP="00545F07">
            <w:pPr>
              <w:pStyle w:val="TableText"/>
            </w:pPr>
          </w:p>
        </w:tc>
        <w:tc>
          <w:tcPr>
            <w:tcW w:w="624" w:type="dxa"/>
          </w:tcPr>
          <w:p w14:paraId="0A131F99" w14:textId="77777777" w:rsidR="00545F07" w:rsidRDefault="00545F07" w:rsidP="00545F07">
            <w:pPr>
              <w:pStyle w:val="TableText"/>
            </w:pPr>
          </w:p>
        </w:tc>
        <w:tc>
          <w:tcPr>
            <w:tcW w:w="6522" w:type="dxa"/>
            <w:gridSpan w:val="2"/>
          </w:tcPr>
          <w:p w14:paraId="1AAFF1FF" w14:textId="77777777" w:rsidR="00545F07" w:rsidRPr="00000C68" w:rsidRDefault="00545F07" w:rsidP="00545F07">
            <w:pPr>
              <w:pStyle w:val="TableBlock"/>
              <w:numPr>
                <w:ilvl w:val="0"/>
                <w:numId w:val="35"/>
              </w:numPr>
              <w:rPr>
                <w:rtl/>
              </w:rPr>
            </w:pPr>
            <w:r w:rsidRPr="00000C68">
              <w:rPr>
                <w:rFonts w:hint="cs"/>
                <w:rtl/>
              </w:rPr>
              <w:t>סעיף 49ג(1);</w:t>
            </w:r>
          </w:p>
        </w:tc>
      </w:tr>
      <w:tr w:rsidR="00545F07" w14:paraId="10776AB8" w14:textId="77777777">
        <w:trPr>
          <w:cantSplit/>
          <w:trHeight w:val="60"/>
        </w:trPr>
        <w:tc>
          <w:tcPr>
            <w:tcW w:w="1871" w:type="dxa"/>
          </w:tcPr>
          <w:p w14:paraId="36A79F51" w14:textId="77777777" w:rsidR="00545F07" w:rsidRDefault="00545F07" w:rsidP="00545F07">
            <w:pPr>
              <w:pStyle w:val="TableSideHeading"/>
            </w:pPr>
          </w:p>
        </w:tc>
        <w:tc>
          <w:tcPr>
            <w:tcW w:w="624" w:type="dxa"/>
          </w:tcPr>
          <w:p w14:paraId="5797ADAE" w14:textId="77777777" w:rsidR="00545F07" w:rsidRDefault="00545F07" w:rsidP="00545F07">
            <w:pPr>
              <w:pStyle w:val="TableText"/>
            </w:pPr>
          </w:p>
        </w:tc>
        <w:tc>
          <w:tcPr>
            <w:tcW w:w="624" w:type="dxa"/>
          </w:tcPr>
          <w:p w14:paraId="70EEE272" w14:textId="77777777" w:rsidR="00545F07" w:rsidRDefault="00545F07" w:rsidP="00545F07">
            <w:pPr>
              <w:pStyle w:val="TableText"/>
            </w:pPr>
          </w:p>
        </w:tc>
        <w:tc>
          <w:tcPr>
            <w:tcW w:w="6522" w:type="dxa"/>
            <w:gridSpan w:val="2"/>
          </w:tcPr>
          <w:p w14:paraId="17722162" w14:textId="77777777" w:rsidR="00545F07" w:rsidRPr="00000C68" w:rsidRDefault="00545F07" w:rsidP="00545F07">
            <w:pPr>
              <w:pStyle w:val="TableBlock"/>
              <w:numPr>
                <w:ilvl w:val="0"/>
                <w:numId w:val="35"/>
              </w:numPr>
              <w:rPr>
                <w:rtl/>
              </w:rPr>
            </w:pPr>
            <w:r w:rsidRPr="00000C68">
              <w:rPr>
                <w:rFonts w:hint="cs"/>
                <w:rtl/>
              </w:rPr>
              <w:t>סעיף 49ה.</w:t>
            </w:r>
          </w:p>
        </w:tc>
      </w:tr>
      <w:tr w:rsidR="00545F07" w14:paraId="50BFB43C" w14:textId="77777777">
        <w:trPr>
          <w:cantSplit/>
          <w:trHeight w:val="60"/>
        </w:trPr>
        <w:tc>
          <w:tcPr>
            <w:tcW w:w="1871" w:type="dxa"/>
          </w:tcPr>
          <w:p w14:paraId="5045DE93" w14:textId="77777777" w:rsidR="00545F07" w:rsidRDefault="00545F07" w:rsidP="00545F07">
            <w:pPr>
              <w:pStyle w:val="TableSideHeading"/>
            </w:pPr>
          </w:p>
        </w:tc>
        <w:tc>
          <w:tcPr>
            <w:tcW w:w="624" w:type="dxa"/>
          </w:tcPr>
          <w:p w14:paraId="23787D0E" w14:textId="77777777" w:rsidR="00545F07" w:rsidRDefault="00545F07" w:rsidP="00545F07">
            <w:pPr>
              <w:pStyle w:val="TableText"/>
            </w:pPr>
          </w:p>
        </w:tc>
        <w:tc>
          <w:tcPr>
            <w:tcW w:w="624" w:type="dxa"/>
          </w:tcPr>
          <w:p w14:paraId="606238C8" w14:textId="77777777" w:rsidR="00545F07" w:rsidRDefault="00545F07" w:rsidP="00545F07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(ב)</w:t>
            </w:r>
          </w:p>
        </w:tc>
        <w:tc>
          <w:tcPr>
            <w:tcW w:w="6522" w:type="dxa"/>
            <w:gridSpan w:val="2"/>
          </w:tcPr>
          <w:p w14:paraId="3329416D" w14:textId="77777777" w:rsidR="00545F07" w:rsidRPr="00000C68" w:rsidRDefault="00545F07" w:rsidP="00545F07">
            <w:pPr>
              <w:rPr>
                <w:rtl/>
              </w:rPr>
            </w:pPr>
            <w:bookmarkStart w:id="34" w:name="_Hlk149655557"/>
            <w:r w:rsidRPr="008A1BFE">
              <w:rPr>
                <w:sz w:val="26"/>
                <w:szCs w:val="26"/>
                <w:rtl/>
              </w:rPr>
              <w:t>בחישוב התקופות שנקבעו בהוראות חוק מיסוי מקרקעין</w:t>
            </w:r>
            <w:r w:rsidR="009B153F" w:rsidRPr="008A1BFE">
              <w:rPr>
                <w:rFonts w:hint="cs"/>
                <w:sz w:val="26"/>
                <w:szCs w:val="26"/>
                <w:rtl/>
              </w:rPr>
              <w:t>,</w:t>
            </w:r>
            <w:r w:rsidRPr="008A1BFE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1A6685" w:rsidRPr="008A1BFE">
              <w:rPr>
                <w:rFonts w:hint="cs"/>
                <w:sz w:val="26"/>
                <w:szCs w:val="26"/>
                <w:rtl/>
              </w:rPr>
              <w:t>אם</w:t>
            </w:r>
            <w:r w:rsidR="00581FFD" w:rsidRPr="008A1BFE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136D99" w:rsidRPr="008A1BFE">
              <w:rPr>
                <w:rFonts w:hint="cs"/>
                <w:sz w:val="26"/>
                <w:szCs w:val="26"/>
                <w:rtl/>
              </w:rPr>
              <w:t>יום או יותר מהתקופה</w:t>
            </w:r>
            <w:r w:rsidRPr="008A1BFE">
              <w:rPr>
                <w:rFonts w:hint="cs"/>
                <w:sz w:val="26"/>
                <w:szCs w:val="26"/>
                <w:rtl/>
              </w:rPr>
              <w:t xml:space="preserve"> הקבו</w:t>
            </w:r>
            <w:r w:rsidRPr="008A1BFE">
              <w:rPr>
                <w:sz w:val="26"/>
                <w:szCs w:val="26"/>
                <w:rtl/>
              </w:rPr>
              <w:t xml:space="preserve">עה </w:t>
            </w:r>
            <w:r w:rsidR="00316906" w:rsidRPr="008A1BFE">
              <w:rPr>
                <w:rFonts w:hint="cs"/>
                <w:sz w:val="26"/>
                <w:szCs w:val="26"/>
                <w:rtl/>
              </w:rPr>
              <w:t>בה</w:t>
            </w:r>
            <w:r w:rsidR="009B153F" w:rsidRPr="008A1BFE">
              <w:rPr>
                <w:rFonts w:hint="cs"/>
                <w:sz w:val="26"/>
                <w:szCs w:val="26"/>
                <w:rtl/>
              </w:rPr>
              <w:t>ן</w:t>
            </w:r>
            <w:r w:rsidRPr="008A1BFE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1A6685" w:rsidRPr="008A1BFE">
              <w:rPr>
                <w:rFonts w:hint="cs"/>
                <w:sz w:val="26"/>
                <w:szCs w:val="26"/>
                <w:rtl/>
              </w:rPr>
              <w:t>הוא</w:t>
            </w:r>
            <w:r w:rsidRPr="008A1BFE">
              <w:rPr>
                <w:sz w:val="26"/>
                <w:szCs w:val="26"/>
                <w:rtl/>
              </w:rPr>
              <w:t xml:space="preserve"> בתקופה הקובעת</w:t>
            </w:r>
            <w:bookmarkEnd w:id="34"/>
            <w:r w:rsidRPr="00000C68">
              <w:rPr>
                <w:rFonts w:hint="cs"/>
                <w:rtl/>
              </w:rPr>
              <w:t xml:space="preserve">, </w:t>
            </w:r>
            <w:r w:rsidRPr="00000C68">
              <w:rPr>
                <w:rFonts w:hint="cs"/>
                <w:sz w:val="26"/>
                <w:szCs w:val="26"/>
                <w:rtl/>
              </w:rPr>
              <w:t>תסתיים התקופה</w:t>
            </w:r>
            <w:r w:rsidR="00F83781">
              <w:rPr>
                <w:rFonts w:hint="cs"/>
                <w:sz w:val="26"/>
                <w:szCs w:val="26"/>
                <w:rtl/>
              </w:rPr>
              <w:t xml:space="preserve"> הקבועה בהן</w:t>
            </w:r>
            <w:r w:rsidRPr="00000C68">
              <w:rPr>
                <w:rFonts w:hint="cs"/>
                <w:sz w:val="26"/>
                <w:szCs w:val="26"/>
                <w:rtl/>
              </w:rPr>
              <w:t xml:space="preserve"> באחד מאלה, לפי המאוחר:</w:t>
            </w:r>
          </w:p>
        </w:tc>
      </w:tr>
      <w:tr w:rsidR="00545F07" w14:paraId="7DF0F72E" w14:textId="77777777">
        <w:trPr>
          <w:cantSplit/>
          <w:trHeight w:val="60"/>
        </w:trPr>
        <w:tc>
          <w:tcPr>
            <w:tcW w:w="1871" w:type="dxa"/>
          </w:tcPr>
          <w:p w14:paraId="65724021" w14:textId="77777777" w:rsidR="00545F07" w:rsidRDefault="00545F07" w:rsidP="00545F07">
            <w:pPr>
              <w:pStyle w:val="TableSideHeading"/>
            </w:pPr>
          </w:p>
        </w:tc>
        <w:tc>
          <w:tcPr>
            <w:tcW w:w="624" w:type="dxa"/>
          </w:tcPr>
          <w:p w14:paraId="6B132620" w14:textId="77777777" w:rsidR="00545F07" w:rsidRDefault="00545F07" w:rsidP="00545F07">
            <w:pPr>
              <w:pStyle w:val="TableText"/>
            </w:pPr>
          </w:p>
        </w:tc>
        <w:tc>
          <w:tcPr>
            <w:tcW w:w="624" w:type="dxa"/>
          </w:tcPr>
          <w:p w14:paraId="58AA884B" w14:textId="77777777" w:rsidR="00545F07" w:rsidRDefault="00545F07" w:rsidP="00545F07">
            <w:pPr>
              <w:pStyle w:val="TableText"/>
            </w:pPr>
          </w:p>
        </w:tc>
        <w:tc>
          <w:tcPr>
            <w:tcW w:w="624" w:type="dxa"/>
          </w:tcPr>
          <w:p w14:paraId="213B8A07" w14:textId="77777777" w:rsidR="00545F07" w:rsidRPr="00000C68" w:rsidRDefault="00545F07" w:rsidP="00545F07">
            <w:pPr>
              <w:pStyle w:val="TableText"/>
            </w:pPr>
            <w:r w:rsidRPr="00000C68">
              <w:rPr>
                <w:rFonts w:hint="cs"/>
                <w:rtl/>
              </w:rPr>
              <w:t>(1)</w:t>
            </w:r>
          </w:p>
        </w:tc>
        <w:tc>
          <w:tcPr>
            <w:tcW w:w="5898" w:type="dxa"/>
          </w:tcPr>
          <w:p w14:paraId="042AEDC9" w14:textId="77777777" w:rsidR="00545F07" w:rsidRPr="00000C68" w:rsidRDefault="00545F07" w:rsidP="00545F07">
            <w:pPr>
              <w:pStyle w:val="TableBlock"/>
            </w:pPr>
            <w:r w:rsidRPr="00000C68">
              <w:rPr>
                <w:rFonts w:hint="cs"/>
                <w:sz w:val="26"/>
                <w:rtl/>
              </w:rPr>
              <w:t>שלושה חודשים לאחר סיום התקופה הקובעת;</w:t>
            </w:r>
          </w:p>
        </w:tc>
      </w:tr>
      <w:tr w:rsidR="00545F07" w14:paraId="2F1FD244" w14:textId="77777777">
        <w:trPr>
          <w:cantSplit/>
          <w:trHeight w:val="60"/>
        </w:trPr>
        <w:tc>
          <w:tcPr>
            <w:tcW w:w="1871" w:type="dxa"/>
          </w:tcPr>
          <w:p w14:paraId="2047A4A3" w14:textId="77777777" w:rsidR="00545F07" w:rsidRDefault="00545F07" w:rsidP="00545F07">
            <w:pPr>
              <w:pStyle w:val="TableSideHeading"/>
            </w:pPr>
          </w:p>
        </w:tc>
        <w:tc>
          <w:tcPr>
            <w:tcW w:w="624" w:type="dxa"/>
          </w:tcPr>
          <w:p w14:paraId="7783BDAE" w14:textId="77777777" w:rsidR="00545F07" w:rsidRDefault="00545F07" w:rsidP="00545F07">
            <w:pPr>
              <w:pStyle w:val="TableText"/>
            </w:pPr>
          </w:p>
        </w:tc>
        <w:tc>
          <w:tcPr>
            <w:tcW w:w="624" w:type="dxa"/>
          </w:tcPr>
          <w:p w14:paraId="1410AC75" w14:textId="77777777" w:rsidR="00545F07" w:rsidRDefault="00545F07" w:rsidP="00545F07">
            <w:pPr>
              <w:pStyle w:val="TableText"/>
            </w:pPr>
          </w:p>
        </w:tc>
        <w:tc>
          <w:tcPr>
            <w:tcW w:w="624" w:type="dxa"/>
          </w:tcPr>
          <w:p w14:paraId="5EB4BBE0" w14:textId="77777777" w:rsidR="00545F07" w:rsidRPr="00000C68" w:rsidRDefault="00545F07" w:rsidP="00545F07">
            <w:pPr>
              <w:pStyle w:val="TableText"/>
              <w:rPr>
                <w:rtl/>
              </w:rPr>
            </w:pPr>
            <w:r w:rsidRPr="00000C68">
              <w:rPr>
                <w:rFonts w:hint="cs"/>
                <w:rtl/>
              </w:rPr>
              <w:t>(2)</w:t>
            </w:r>
          </w:p>
        </w:tc>
        <w:tc>
          <w:tcPr>
            <w:tcW w:w="5898" w:type="dxa"/>
          </w:tcPr>
          <w:p w14:paraId="56986321" w14:textId="77777777" w:rsidR="00545F07" w:rsidRPr="00000C68" w:rsidRDefault="00545F07" w:rsidP="00545F07">
            <w:pPr>
              <w:pStyle w:val="TableBlock"/>
              <w:rPr>
                <w:sz w:val="26"/>
                <w:rtl/>
              </w:rPr>
            </w:pPr>
            <w:r w:rsidRPr="00000C68">
              <w:rPr>
                <w:rFonts w:hint="cs"/>
                <w:sz w:val="26"/>
                <w:rtl/>
              </w:rPr>
              <w:t>שלושה חודשים לאחר המועד בו אמורה היתה להסתיים התקופה הקבועה בהוראות</w:t>
            </w:r>
            <w:r w:rsidR="001A6685" w:rsidRPr="00000C68">
              <w:rPr>
                <w:rFonts w:hint="cs"/>
                <w:sz w:val="26"/>
                <w:rtl/>
              </w:rPr>
              <w:t xml:space="preserve"> חוק מיסוי מקרקעין</w:t>
            </w:r>
            <w:r w:rsidRPr="00000C68">
              <w:rPr>
                <w:rFonts w:hint="cs"/>
                <w:sz w:val="26"/>
                <w:rtl/>
              </w:rPr>
              <w:t>.</w:t>
            </w:r>
          </w:p>
        </w:tc>
      </w:tr>
      <w:tr w:rsidR="00545F07" w14:paraId="5A95D7A9" w14:textId="77777777">
        <w:trPr>
          <w:cantSplit/>
          <w:trHeight w:val="60"/>
        </w:trPr>
        <w:tc>
          <w:tcPr>
            <w:tcW w:w="1871" w:type="dxa"/>
          </w:tcPr>
          <w:p w14:paraId="72D2360B" w14:textId="77777777" w:rsidR="00545F07" w:rsidRDefault="00102A32" w:rsidP="00545F07">
            <w:pPr>
              <w:pStyle w:val="TableSideHeading"/>
            </w:pPr>
            <w:r>
              <w:rPr>
                <w:rFonts w:hint="cs"/>
                <w:rtl/>
              </w:rPr>
              <w:t>הארכת התקופה הקובעת</w:t>
            </w:r>
          </w:p>
        </w:tc>
        <w:tc>
          <w:tcPr>
            <w:tcW w:w="624" w:type="dxa"/>
          </w:tcPr>
          <w:p w14:paraId="05703ECF" w14:textId="77777777" w:rsidR="00545F07" w:rsidRDefault="00545F07" w:rsidP="00545F07">
            <w:pPr>
              <w:pStyle w:val="TableText"/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7146" w:type="dxa"/>
            <w:gridSpan w:val="3"/>
          </w:tcPr>
          <w:p w14:paraId="3E263396" w14:textId="77777777" w:rsidR="00545F07" w:rsidRPr="00C34DE2" w:rsidRDefault="00545F07" w:rsidP="00545F07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 xml:space="preserve">   </w:t>
            </w:r>
            <w:r w:rsidRPr="00E66856">
              <w:rPr>
                <w:rFonts w:hint="cs"/>
                <w:rtl/>
              </w:rPr>
              <w:t>שר האוצר</w:t>
            </w:r>
            <w:r>
              <w:rPr>
                <w:rFonts w:hint="cs"/>
                <w:rtl/>
              </w:rPr>
              <w:t xml:space="preserve"> </w:t>
            </w:r>
            <w:r w:rsidRPr="00E66856">
              <w:rPr>
                <w:rFonts w:hint="cs"/>
                <w:rtl/>
              </w:rPr>
              <w:t>רשאי, בצו, להאריך את התקופה הקובעת, דרך כלל או ל</w:t>
            </w:r>
            <w:r>
              <w:rPr>
                <w:rFonts w:hint="cs"/>
                <w:rtl/>
              </w:rPr>
              <w:t>חיקוקים</w:t>
            </w:r>
            <w:r w:rsidRPr="00E66856">
              <w:rPr>
                <w:rFonts w:hint="cs"/>
                <w:rtl/>
              </w:rPr>
              <w:t xml:space="preserve"> מסוימים, אם נוכח כי מתקיימות נסיבות מיוחדות המצדיקות זאת עקב המצב הבטחוני</w:t>
            </w:r>
            <w:r>
              <w:rPr>
                <w:rFonts w:hint="cs"/>
                <w:rtl/>
              </w:rPr>
              <w:t xml:space="preserve"> המיוחד</w:t>
            </w:r>
            <w:r w:rsidR="0026131B">
              <w:rPr>
                <w:rFonts w:hint="cs"/>
                <w:rtl/>
              </w:rPr>
              <w:t xml:space="preserve">, ובלבד </w:t>
            </w:r>
            <w:r w:rsidR="0026131B">
              <w:rPr>
                <w:rtl/>
              </w:rPr>
              <w:t xml:space="preserve">שמשך ההארכה הכולל לפי סעיף </w:t>
            </w:r>
            <w:r w:rsidR="0026131B" w:rsidRPr="00C54665">
              <w:rPr>
                <w:rtl/>
              </w:rPr>
              <w:t>זה לא יעלה על תשעה חודשים</w:t>
            </w:r>
            <w:r w:rsidRPr="00E66856">
              <w:rPr>
                <w:rFonts w:hint="cs"/>
                <w:rtl/>
              </w:rPr>
              <w:t xml:space="preserve">. </w:t>
            </w:r>
          </w:p>
        </w:tc>
      </w:tr>
    </w:tbl>
    <w:p w14:paraId="417F43E3" w14:textId="77777777" w:rsidR="00DD6C76" w:rsidRDefault="00DD6C76" w:rsidP="0069574E"/>
    <w:p w14:paraId="4A5C3EF8" w14:textId="77777777" w:rsidR="00DD6C76" w:rsidRPr="00B70AC8" w:rsidRDefault="00B70AC8" w:rsidP="0069574E">
      <w:pPr>
        <w:pStyle w:val="HeadDivreiHesber"/>
        <w:rPr>
          <w:b w:val="0"/>
          <w:bCs/>
          <w:rtl/>
        </w:rPr>
      </w:pPr>
      <w:bookmarkStart w:id="35" w:name="_Toc149638414"/>
      <w:bookmarkStart w:id="36" w:name="_Toc149638434"/>
      <w:bookmarkStart w:id="37" w:name="_Toc149638478"/>
      <w:bookmarkStart w:id="38" w:name="_Toc149664519"/>
      <w:r w:rsidRPr="008A1BFE">
        <w:rPr>
          <w:rFonts w:hint="cs"/>
          <w:b w:val="0"/>
          <w:bCs/>
          <w:rtl/>
        </w:rPr>
        <w:t>דברי הסבר</w:t>
      </w:r>
      <w:bookmarkEnd w:id="35"/>
      <w:bookmarkEnd w:id="36"/>
      <w:bookmarkEnd w:id="37"/>
      <w:bookmarkEnd w:id="38"/>
      <w:r w:rsidR="007D7C6E" w:rsidRPr="00B70AC8">
        <w:rPr>
          <w:rFonts w:hint="cs"/>
          <w:b w:val="0"/>
          <w:bCs/>
          <w:rtl/>
        </w:rPr>
        <w:t xml:space="preserve"> </w:t>
      </w:r>
    </w:p>
    <w:p w14:paraId="4FE89253" w14:textId="77777777" w:rsidR="009619A2" w:rsidRPr="00F87C7A" w:rsidRDefault="009619A2" w:rsidP="009619A2">
      <w:pPr>
        <w:pStyle w:val="Hesber1st"/>
        <w:tabs>
          <w:tab w:val="clear" w:pos="680"/>
        </w:tabs>
        <w:rPr>
          <w:rtl/>
        </w:rPr>
      </w:pPr>
      <w:r w:rsidRPr="00F87C7A">
        <w:rPr>
          <w:rtl/>
        </w:rPr>
        <w:t>ביום</w:t>
      </w:r>
      <w:r w:rsidRPr="00F87C7A">
        <w:rPr>
          <w:rFonts w:hint="cs"/>
          <w:rtl/>
        </w:rPr>
        <w:t xml:space="preserve"> כ"ב בתשרי התשפ"ד</w:t>
      </w:r>
      <w:r w:rsidRPr="00F87C7A">
        <w:rPr>
          <w:rtl/>
        </w:rPr>
        <w:t xml:space="preserve"> </w:t>
      </w:r>
      <w:r w:rsidRPr="00F87C7A">
        <w:rPr>
          <w:rFonts w:hint="cs"/>
          <w:rtl/>
        </w:rPr>
        <w:t>(</w:t>
      </w:r>
      <w:r w:rsidRPr="00F87C7A">
        <w:rPr>
          <w:rtl/>
        </w:rPr>
        <w:t>7 באוקטובר 2023</w:t>
      </w:r>
      <w:r w:rsidRPr="00F87C7A">
        <w:rPr>
          <w:rFonts w:hint="cs"/>
          <w:rtl/>
        </w:rPr>
        <w:t>)</w:t>
      </w:r>
      <w:r w:rsidRPr="00F87C7A">
        <w:rPr>
          <w:rtl/>
        </w:rPr>
        <w:t xml:space="preserve"> החל</w:t>
      </w:r>
      <w:r w:rsidRPr="00F87C7A">
        <w:rPr>
          <w:rFonts w:hint="cs"/>
          <w:rtl/>
        </w:rPr>
        <w:t xml:space="preserve">ה מתקפת טרור רצחנית מרצועת עזה שבמסגרתה חדרו </w:t>
      </w:r>
      <w:r w:rsidR="00F02AA6">
        <w:rPr>
          <w:rFonts w:hint="cs"/>
          <w:rtl/>
        </w:rPr>
        <w:t>למעלה מ-1,000</w:t>
      </w:r>
      <w:r w:rsidRPr="00F87C7A">
        <w:rPr>
          <w:rFonts w:hint="cs"/>
          <w:rtl/>
        </w:rPr>
        <w:t xml:space="preserve"> מחבלים ליישובים בדרום הארץ מהיבשה, מהאוויר ומהים וכן התבצע ירי מסיבי של אלפי רקטות לעבר שטח מדינת ישראל.</w:t>
      </w:r>
    </w:p>
    <w:p w14:paraId="28425903" w14:textId="77777777" w:rsidR="00474FEB" w:rsidRDefault="00F02AA6" w:rsidP="00474FEB">
      <w:pPr>
        <w:pStyle w:val="Hesber"/>
        <w:rPr>
          <w:sz w:val="26"/>
          <w:rtl/>
        </w:rPr>
      </w:pPr>
      <w:r>
        <w:rPr>
          <w:rFonts w:hint="cs"/>
          <w:rtl/>
        </w:rPr>
        <w:t xml:space="preserve">במתקפת הטרור נרצחו כ-1,400 איש, נפצעו אלפים, ומעל 200 אזרחים וחיילים נחטפו לשטח רצועת עזה. </w:t>
      </w:r>
      <w:r w:rsidRPr="00C80EDA">
        <w:rPr>
          <w:rFonts w:hint="cs"/>
          <w:rtl/>
        </w:rPr>
        <w:t xml:space="preserve">נוכח האירועים האמורים, </w:t>
      </w:r>
      <w:r>
        <w:rPr>
          <w:rFonts w:hint="cs"/>
          <w:rtl/>
        </w:rPr>
        <w:t>החליטה ועדת השרים לענייני ביטחון לאומי (</w:t>
      </w:r>
      <w:r w:rsidRPr="00C80EDA">
        <w:rPr>
          <w:rFonts w:hint="cs"/>
          <w:rtl/>
        </w:rPr>
        <w:t>הקבי</w:t>
      </w:r>
      <w:r>
        <w:rPr>
          <w:rFonts w:hint="cs"/>
          <w:rtl/>
        </w:rPr>
        <w:t xml:space="preserve">נט המדיני-ביטחוני) </w:t>
      </w:r>
      <w:r w:rsidRPr="00C80EDA">
        <w:rPr>
          <w:rFonts w:hint="cs"/>
          <w:rtl/>
        </w:rPr>
        <w:t>על נקיטת פעולות צבאיות משמעותיות, בהתאם לסעיף 40 לחוק-יסוד: הממשלה, והוכרז בצה"ל על מבצע "חרבות ברזל"</w:t>
      </w:r>
      <w:r>
        <w:rPr>
          <w:rFonts w:hint="cs"/>
          <w:rtl/>
        </w:rPr>
        <w:t xml:space="preserve">. כמו כן, הכריז שר הביטחון על מצב מיוחד בעורף </w:t>
      </w:r>
      <w:r w:rsidRPr="00F87C7A">
        <w:rPr>
          <w:rFonts w:hint="cs"/>
          <w:rtl/>
        </w:rPr>
        <w:t>בהתאם לסמכותו לפי סעיף 9ג(ב) לחוק ההתגוננות האזרחית, התשי"א-1951</w:t>
      </w:r>
      <w:r>
        <w:rPr>
          <w:rFonts w:hint="cs"/>
          <w:rtl/>
        </w:rPr>
        <w:t xml:space="preserve">, הכרזה  שהורחבה לשטח המדינה כולה. </w:t>
      </w:r>
      <w:r w:rsidRPr="00F87C7A">
        <w:rPr>
          <w:rFonts w:hint="eastAsia"/>
          <w:rtl/>
        </w:rPr>
        <w:t>הכרזת</w:t>
      </w:r>
      <w:r w:rsidRPr="00F87C7A">
        <w:rPr>
          <w:rtl/>
        </w:rPr>
        <w:t xml:space="preserve"> שר הביטחון אושרה </w:t>
      </w:r>
      <w:r w:rsidRPr="00F87C7A">
        <w:rPr>
          <w:rtl/>
        </w:rPr>
        <w:lastRenderedPageBreak/>
        <w:t>על ידי ועדת החוץ והביטחון של הכנסת.</w:t>
      </w:r>
      <w:r>
        <w:rPr>
          <w:rFonts w:hint="cs"/>
          <w:rtl/>
        </w:rPr>
        <w:t xml:space="preserve"> </w:t>
      </w:r>
      <w:r w:rsidRPr="00C80EDA">
        <w:rPr>
          <w:rFonts w:hint="cs"/>
          <w:rtl/>
        </w:rPr>
        <w:t>ב</w:t>
      </w:r>
      <w:r>
        <w:rPr>
          <w:rFonts w:hint="cs"/>
          <w:rtl/>
        </w:rPr>
        <w:t xml:space="preserve">מסגרת האירועים האמורים, </w:t>
      </w:r>
      <w:r w:rsidRPr="00C80EDA">
        <w:rPr>
          <w:rFonts w:hint="cs"/>
          <w:rtl/>
        </w:rPr>
        <w:t>צ</w:t>
      </w:r>
      <w:r>
        <w:rPr>
          <w:rFonts w:hint="cs"/>
          <w:rtl/>
        </w:rPr>
        <w:t>ה"</w:t>
      </w:r>
      <w:r w:rsidRPr="00C80EDA">
        <w:rPr>
          <w:rFonts w:hint="cs"/>
          <w:rtl/>
        </w:rPr>
        <w:t xml:space="preserve">ל </w:t>
      </w:r>
      <w:r>
        <w:rPr>
          <w:rFonts w:hint="cs"/>
          <w:rtl/>
        </w:rPr>
        <w:t xml:space="preserve">ערך </w:t>
      </w:r>
      <w:r w:rsidRPr="00C80EDA">
        <w:rPr>
          <w:rFonts w:hint="cs"/>
          <w:rtl/>
        </w:rPr>
        <w:t>גיוס מילואים רחב, לכל המערכים בצה"ל ובמערכת הביטחון. מרחב עוטף עזה ואזורים נוספים במדינת ישראל הוכרזו כשטח צבאי סגור שהכניסה אליהם אסורה, וביישובים רבים בישראל התושבים התבקשו להתפנות מבתיהם</w:t>
      </w:r>
      <w:r w:rsidRPr="00B619F6">
        <w:rPr>
          <w:rFonts w:hint="eastAsia"/>
          <w:rtl/>
        </w:rPr>
        <w:t xml:space="preserve"> </w:t>
      </w:r>
      <w:r w:rsidRPr="00F87C7A">
        <w:rPr>
          <w:rFonts w:hint="eastAsia"/>
          <w:rtl/>
        </w:rPr>
        <w:t>נוכח</w:t>
      </w:r>
      <w:r w:rsidRPr="00F87C7A">
        <w:rPr>
          <w:rtl/>
        </w:rPr>
        <w:t xml:space="preserve"> האירועים</w:t>
      </w:r>
      <w:r>
        <w:rPr>
          <w:rFonts w:hint="cs"/>
          <w:rtl/>
        </w:rPr>
        <w:t xml:space="preserve">. </w:t>
      </w:r>
      <w:r w:rsidRPr="00F87C7A">
        <w:rPr>
          <w:rFonts w:hint="cs"/>
          <w:rtl/>
        </w:rPr>
        <w:t xml:space="preserve">בשל המצב החריג, ומכיוון שניהול </w:t>
      </w:r>
      <w:r>
        <w:rPr>
          <w:rFonts w:hint="cs"/>
          <w:rtl/>
        </w:rPr>
        <w:t>ה</w:t>
      </w:r>
      <w:r w:rsidRPr="00F87C7A">
        <w:rPr>
          <w:rFonts w:hint="cs"/>
          <w:rtl/>
        </w:rPr>
        <w:t xml:space="preserve">מערכה </w:t>
      </w:r>
      <w:r>
        <w:rPr>
          <w:rFonts w:hint="cs"/>
          <w:rtl/>
        </w:rPr>
        <w:t xml:space="preserve">מקשה על קיום שגרה רגילה ועל עמידה בזמנים הקבועים בחיקוק, הן במגזר הציבורי והן במגזר הפרטי, </w:t>
      </w:r>
      <w:r w:rsidRPr="00F87C7A">
        <w:rPr>
          <w:rFonts w:hint="cs"/>
          <w:rtl/>
        </w:rPr>
        <w:t>יש צורך בקידום תיקון חקיקה זמני</w:t>
      </w:r>
      <w:r>
        <w:rPr>
          <w:rFonts w:hint="cs"/>
          <w:rtl/>
        </w:rPr>
        <w:t xml:space="preserve"> </w:t>
      </w:r>
      <w:r w:rsidRPr="00F87C7A">
        <w:rPr>
          <w:rFonts w:hint="cs"/>
          <w:rtl/>
        </w:rPr>
        <w:t>להארכת מועדים</w:t>
      </w:r>
      <w:r>
        <w:rPr>
          <w:rFonts w:hint="cs"/>
          <w:rtl/>
        </w:rPr>
        <w:t xml:space="preserve"> לעת הזו</w:t>
      </w:r>
      <w:r w:rsidRPr="00F87C7A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14:paraId="145DA049" w14:textId="77777777" w:rsidR="00474FEB" w:rsidRPr="00474FEB" w:rsidRDefault="00280175" w:rsidP="00474FEB">
      <w:pPr>
        <w:pStyle w:val="Hesber"/>
        <w:ind w:firstLine="0"/>
        <w:rPr>
          <w:sz w:val="26"/>
          <w:rtl/>
        </w:rPr>
      </w:pPr>
      <w:r w:rsidRPr="00474FEB">
        <w:rPr>
          <w:rFonts w:hint="cs"/>
          <w:sz w:val="26"/>
          <w:rtl/>
        </w:rPr>
        <w:t>על רקע ז</w:t>
      </w:r>
      <w:r w:rsidR="00F02AA6" w:rsidRPr="00474FEB">
        <w:rPr>
          <w:rFonts w:hint="cs"/>
          <w:sz w:val="26"/>
          <w:rtl/>
        </w:rPr>
        <w:t>את</w:t>
      </w:r>
      <w:r w:rsidRPr="00474FEB">
        <w:rPr>
          <w:rFonts w:hint="cs"/>
          <w:sz w:val="26"/>
          <w:rtl/>
        </w:rPr>
        <w:t>,</w:t>
      </w:r>
      <w:r w:rsidR="00474FEB" w:rsidRPr="00474FEB">
        <w:rPr>
          <w:rFonts w:hint="cs"/>
          <w:sz w:val="26"/>
          <w:rtl/>
        </w:rPr>
        <w:t xml:space="preserve"> מוצע להאריך מועדים ולדחות תקופות לביצוע פעולות הקבועים בחקיקת המס.</w:t>
      </w:r>
      <w:r w:rsidRPr="00474FEB">
        <w:rPr>
          <w:rFonts w:hint="cs"/>
          <w:sz w:val="26"/>
          <w:rtl/>
        </w:rPr>
        <w:t xml:space="preserve"> </w:t>
      </w:r>
      <w:r w:rsidRPr="00474FEB">
        <w:rPr>
          <w:sz w:val="26"/>
          <w:rtl/>
        </w:rPr>
        <w:t xml:space="preserve">מטרת </w:t>
      </w:r>
      <w:r w:rsidR="00234F6A" w:rsidRPr="00474FEB">
        <w:rPr>
          <w:rFonts w:hint="cs"/>
          <w:sz w:val="26"/>
          <w:rtl/>
        </w:rPr>
        <w:t>החוק המוצע</w:t>
      </w:r>
      <w:r w:rsidRPr="00474FEB">
        <w:rPr>
          <w:sz w:val="26"/>
          <w:rtl/>
        </w:rPr>
        <w:t xml:space="preserve"> היא הארכת</w:t>
      </w:r>
      <w:r w:rsidRPr="00474FEB">
        <w:rPr>
          <w:rFonts w:hint="cs"/>
          <w:sz w:val="26"/>
          <w:rtl/>
        </w:rPr>
        <w:t xml:space="preserve"> תוקפן</w:t>
      </w:r>
      <w:r w:rsidRPr="00474FEB">
        <w:rPr>
          <w:sz w:val="26"/>
          <w:rtl/>
        </w:rPr>
        <w:t xml:space="preserve"> של</w:t>
      </w:r>
      <w:r w:rsidRPr="00474FEB">
        <w:rPr>
          <w:rFonts w:hint="cs"/>
          <w:sz w:val="26"/>
          <w:rtl/>
        </w:rPr>
        <w:t xml:space="preserve"> </w:t>
      </w:r>
      <w:r w:rsidRPr="00474FEB">
        <w:rPr>
          <w:sz w:val="26"/>
          <w:rtl/>
        </w:rPr>
        <w:t xml:space="preserve">תקופות קצובות בזמן שנקבעו בדיני המס להליכים שונים, אשר מנהלים </w:t>
      </w:r>
      <w:r w:rsidRPr="00474FEB">
        <w:rPr>
          <w:rFonts w:hint="cs"/>
          <w:sz w:val="26"/>
          <w:rtl/>
        </w:rPr>
        <w:t>ה</w:t>
      </w:r>
      <w:r w:rsidR="00D64245">
        <w:rPr>
          <w:rFonts w:hint="cs"/>
          <w:sz w:val="26"/>
          <w:rtl/>
        </w:rPr>
        <w:t>אזרח</w:t>
      </w:r>
      <w:r w:rsidRPr="00474FEB">
        <w:rPr>
          <w:sz w:val="26"/>
          <w:rtl/>
        </w:rPr>
        <w:t xml:space="preserve"> ורשות המסים זה מול זו</w:t>
      </w:r>
      <w:r w:rsidRPr="00474FEB">
        <w:rPr>
          <w:rFonts w:hint="cs"/>
          <w:sz w:val="26"/>
          <w:rtl/>
        </w:rPr>
        <w:t>, זאת משום</w:t>
      </w:r>
      <w:r w:rsidRPr="00474FEB">
        <w:rPr>
          <w:sz w:val="26"/>
          <w:rtl/>
        </w:rPr>
        <w:t xml:space="preserve"> </w:t>
      </w:r>
      <w:r w:rsidRPr="00474FEB">
        <w:rPr>
          <w:rFonts w:hint="cs"/>
          <w:sz w:val="26"/>
          <w:rtl/>
        </w:rPr>
        <w:t>ש</w:t>
      </w:r>
      <w:r w:rsidR="00D64245">
        <w:rPr>
          <w:rFonts w:hint="cs"/>
          <w:sz w:val="26"/>
          <w:rtl/>
        </w:rPr>
        <w:t>ה</w:t>
      </w:r>
      <w:r w:rsidRPr="00474FEB">
        <w:rPr>
          <w:sz w:val="26"/>
          <w:rtl/>
        </w:rPr>
        <w:t xml:space="preserve">יכולות לנהל את אותם הליכים בתקופת חירום מוגבלות מאד. בהתאם לכך, </w:t>
      </w:r>
      <w:r w:rsidRPr="00474FEB">
        <w:rPr>
          <w:rFonts w:hint="cs"/>
          <w:sz w:val="26"/>
          <w:rtl/>
        </w:rPr>
        <w:t>מוצע</w:t>
      </w:r>
      <w:r w:rsidRPr="00474FEB">
        <w:rPr>
          <w:sz w:val="26"/>
          <w:rtl/>
        </w:rPr>
        <w:t xml:space="preserve"> לקדם הסדרה </w:t>
      </w:r>
      <w:r w:rsidRPr="00474FEB">
        <w:rPr>
          <w:rFonts w:hint="cs"/>
          <w:sz w:val="26"/>
          <w:rtl/>
        </w:rPr>
        <w:t>מיידית</w:t>
      </w:r>
      <w:r w:rsidRPr="00474FEB">
        <w:rPr>
          <w:sz w:val="26"/>
          <w:rtl/>
        </w:rPr>
        <w:t xml:space="preserve"> לפיה </w:t>
      </w:r>
      <w:r w:rsidR="00474FEB" w:rsidRPr="00474FEB">
        <w:rPr>
          <w:rFonts w:hint="cs"/>
          <w:sz w:val="26"/>
          <w:rtl/>
        </w:rPr>
        <w:t xml:space="preserve">אם מועד תחילת ביצוע הפעולה, כמפורט בהצעת החוק, חל לפני תום </w:t>
      </w:r>
      <w:r w:rsidR="00112356">
        <w:rPr>
          <w:rFonts w:hint="cs"/>
          <w:sz w:val="26"/>
          <w:rtl/>
        </w:rPr>
        <w:t>"ה</w:t>
      </w:r>
      <w:r w:rsidR="00474FEB" w:rsidRPr="00474FEB">
        <w:rPr>
          <w:rFonts w:hint="cs"/>
          <w:sz w:val="26"/>
          <w:rtl/>
        </w:rPr>
        <w:t>תקופ</w:t>
      </w:r>
      <w:r w:rsidR="00112356">
        <w:rPr>
          <w:rFonts w:hint="cs"/>
          <w:sz w:val="26"/>
          <w:rtl/>
        </w:rPr>
        <w:t>ה</w:t>
      </w:r>
      <w:r w:rsidR="00474FEB" w:rsidRPr="00474FEB">
        <w:rPr>
          <w:rFonts w:hint="cs"/>
          <w:sz w:val="26"/>
          <w:rtl/>
        </w:rPr>
        <w:t xml:space="preserve"> הקובעת"</w:t>
      </w:r>
      <w:r w:rsidR="00112356">
        <w:rPr>
          <w:rFonts w:hint="cs"/>
          <w:sz w:val="26"/>
          <w:rtl/>
        </w:rPr>
        <w:t xml:space="preserve"> (תקופת הדחיה)</w:t>
      </w:r>
      <w:r w:rsidR="00474FEB" w:rsidRPr="00474FEB">
        <w:rPr>
          <w:rFonts w:hint="cs"/>
          <w:sz w:val="26"/>
          <w:rtl/>
        </w:rPr>
        <w:t xml:space="preserve">, ומועד סיום ביצוע הפעולה, חל </w:t>
      </w:r>
      <w:r w:rsidR="00474FEB" w:rsidRPr="00474FEB">
        <w:rPr>
          <w:sz w:val="26"/>
          <w:rtl/>
        </w:rPr>
        <w:t>במהלך תקופ</w:t>
      </w:r>
      <w:r w:rsidR="00112356">
        <w:rPr>
          <w:rFonts w:hint="cs"/>
          <w:sz w:val="26"/>
          <w:rtl/>
        </w:rPr>
        <w:t>ה זו</w:t>
      </w:r>
      <w:r w:rsidR="00474FEB" w:rsidRPr="00474FEB">
        <w:rPr>
          <w:rFonts w:hint="cs"/>
          <w:sz w:val="26"/>
          <w:rtl/>
        </w:rPr>
        <w:t xml:space="preserve"> או בחודשיים שאחריה, </w:t>
      </w:r>
      <w:r w:rsidR="00112356">
        <w:rPr>
          <w:rFonts w:hint="cs"/>
          <w:sz w:val="26"/>
          <w:rtl/>
        </w:rPr>
        <w:t>ה</w:t>
      </w:r>
      <w:r w:rsidR="00474FEB" w:rsidRPr="00474FEB">
        <w:rPr>
          <w:rFonts w:hint="cs"/>
          <w:sz w:val="26"/>
          <w:rtl/>
        </w:rPr>
        <w:t xml:space="preserve">תקופה </w:t>
      </w:r>
      <w:r w:rsidR="00112356">
        <w:rPr>
          <w:rFonts w:hint="cs"/>
          <w:sz w:val="26"/>
          <w:rtl/>
        </w:rPr>
        <w:t>הקובעת</w:t>
      </w:r>
      <w:r w:rsidR="00474FEB" w:rsidRPr="00474FEB">
        <w:rPr>
          <w:rFonts w:hint="cs"/>
          <w:sz w:val="26"/>
          <w:rtl/>
        </w:rPr>
        <w:t xml:space="preserve"> </w:t>
      </w:r>
      <w:r w:rsidR="00474FEB" w:rsidRPr="00474FEB">
        <w:rPr>
          <w:sz w:val="26"/>
          <w:rtl/>
        </w:rPr>
        <w:t xml:space="preserve"> לא </w:t>
      </w:r>
      <w:r w:rsidR="00474FEB" w:rsidRPr="00474FEB">
        <w:rPr>
          <w:rFonts w:hint="cs"/>
          <w:sz w:val="26"/>
          <w:rtl/>
        </w:rPr>
        <w:t>תבוא במניין הימים  לביצוע הפעולה. זאת, כדי לתת שהות להתארגנות מסוימת לביצוע הפעולה גם לאחר תום תקופ</w:t>
      </w:r>
      <w:r w:rsidR="00112356">
        <w:rPr>
          <w:rFonts w:hint="cs"/>
          <w:sz w:val="26"/>
          <w:rtl/>
        </w:rPr>
        <w:t>ה זו</w:t>
      </w:r>
      <w:r w:rsidR="00474FEB" w:rsidRPr="00474FEB">
        <w:rPr>
          <w:rFonts w:hint="cs"/>
          <w:sz w:val="26"/>
          <w:rtl/>
        </w:rPr>
        <w:t>.</w:t>
      </w:r>
    </w:p>
    <w:p w14:paraId="66DABBFA" w14:textId="77777777" w:rsidR="00234F6A" w:rsidRDefault="006B6672" w:rsidP="00474FEB">
      <w:pPr>
        <w:pStyle w:val="Hesber"/>
        <w:ind w:firstLine="0"/>
        <w:rPr>
          <w:rtl/>
        </w:rPr>
      </w:pPr>
      <w:r w:rsidRPr="00323B6A">
        <w:rPr>
          <w:rtl/>
        </w:rPr>
        <w:t>המתווה המוצע יחול לגבי תקופות ש</w:t>
      </w:r>
      <w:r w:rsidR="00234F6A">
        <w:rPr>
          <w:rFonts w:hint="cs"/>
          <w:rtl/>
        </w:rPr>
        <w:t xml:space="preserve">מועד תחילתן חל לפני תום </w:t>
      </w:r>
      <w:r w:rsidR="00112356">
        <w:rPr>
          <w:rFonts w:hint="cs"/>
          <w:rtl/>
        </w:rPr>
        <w:t>התקופה הקובעת</w:t>
      </w:r>
      <w:r w:rsidR="009C0908">
        <w:rPr>
          <w:rFonts w:hint="cs"/>
          <w:rtl/>
        </w:rPr>
        <w:t>,</w:t>
      </w:r>
      <w:r w:rsidR="009C0908">
        <w:rPr>
          <w:rFonts w:hint="cs"/>
        </w:rPr>
        <w:t xml:space="preserve"> </w:t>
      </w:r>
      <w:r w:rsidR="009C0908">
        <w:rPr>
          <w:rFonts w:hint="cs"/>
          <w:rtl/>
        </w:rPr>
        <w:t>ו</w:t>
      </w:r>
      <w:r w:rsidRPr="00323B6A">
        <w:rPr>
          <w:rtl/>
        </w:rPr>
        <w:t>מועד פקיעתן חל ב</w:t>
      </w:r>
      <w:r w:rsidRPr="00323B6A">
        <w:rPr>
          <w:rFonts w:hint="cs"/>
          <w:rtl/>
        </w:rPr>
        <w:t xml:space="preserve">מהלך </w:t>
      </w:r>
      <w:r w:rsidR="00112356">
        <w:rPr>
          <w:rFonts w:hint="cs"/>
          <w:rtl/>
        </w:rPr>
        <w:t>התקופה הקובעת</w:t>
      </w:r>
      <w:r w:rsidR="00234F6A">
        <w:rPr>
          <w:rFonts w:hint="cs"/>
          <w:rtl/>
        </w:rPr>
        <w:t xml:space="preserve"> </w:t>
      </w:r>
      <w:r w:rsidRPr="00323B6A">
        <w:rPr>
          <w:rtl/>
        </w:rPr>
        <w:t>או בחודשיים שלאחר</w:t>
      </w:r>
      <w:r w:rsidRPr="00323B6A">
        <w:rPr>
          <w:rFonts w:hint="cs"/>
          <w:rtl/>
        </w:rPr>
        <w:t>יה</w:t>
      </w:r>
      <w:r w:rsidRPr="00323B6A">
        <w:rPr>
          <w:rtl/>
        </w:rPr>
        <w:t xml:space="preserve">. במקרים אלו לא תבוא </w:t>
      </w:r>
      <w:r w:rsidR="00112356">
        <w:rPr>
          <w:rFonts w:hint="cs"/>
          <w:rtl/>
        </w:rPr>
        <w:t>ה</w:t>
      </w:r>
      <w:r w:rsidRPr="00323B6A">
        <w:rPr>
          <w:rtl/>
        </w:rPr>
        <w:t>תקופ</w:t>
      </w:r>
      <w:r w:rsidR="00112356">
        <w:rPr>
          <w:rFonts w:hint="cs"/>
          <w:rtl/>
        </w:rPr>
        <w:t xml:space="preserve">ה הקובעת </w:t>
      </w:r>
      <w:r w:rsidRPr="00323B6A">
        <w:rPr>
          <w:rtl/>
        </w:rPr>
        <w:t xml:space="preserve"> במניין ימיה של תקופה קצובה בזמן המפורטת </w:t>
      </w:r>
      <w:r w:rsidRPr="00323B6A">
        <w:rPr>
          <w:rFonts w:hint="cs"/>
          <w:rtl/>
        </w:rPr>
        <w:t>באחד מהחיקוקים המנויים ב</w:t>
      </w:r>
      <w:r w:rsidR="00234F6A">
        <w:rPr>
          <w:rFonts w:hint="cs"/>
          <w:rtl/>
        </w:rPr>
        <w:t>חוק.</w:t>
      </w:r>
      <w:r w:rsidR="00256579">
        <w:rPr>
          <w:rFonts w:hint="cs"/>
          <w:rtl/>
        </w:rPr>
        <w:t xml:space="preserve"> כך לדוגמה, הצעת החוק כוללת הוראות שלפיהן התקופה להגשת השגה על שומה תוארך, אם התקופה להגשתה פקעה במהלך התקופה </w:t>
      </w:r>
      <w:r w:rsidR="00256579" w:rsidRPr="004F698E">
        <w:rPr>
          <w:rFonts w:hint="cs"/>
          <w:rtl/>
        </w:rPr>
        <w:t xml:space="preserve">הקובעת, על מנת ליתן שהות להגשת השגות </w:t>
      </w:r>
      <w:r w:rsidR="00487BFB">
        <w:rPr>
          <w:rFonts w:hint="cs"/>
          <w:rtl/>
        </w:rPr>
        <w:t>לנישומ</w:t>
      </w:r>
      <w:r w:rsidR="00256579" w:rsidRPr="004F698E">
        <w:rPr>
          <w:rFonts w:hint="cs"/>
          <w:rtl/>
        </w:rPr>
        <w:t>ים שלא היתה בידם אפשרות להגיש השגה בתקופה זו</w:t>
      </w:r>
      <w:r w:rsidR="00474FEB">
        <w:rPr>
          <w:rFonts w:hint="cs"/>
          <w:rtl/>
        </w:rPr>
        <w:t xml:space="preserve">, וכן </w:t>
      </w:r>
      <w:r w:rsidR="00487BFB">
        <w:rPr>
          <w:rFonts w:hint="cs"/>
          <w:rtl/>
        </w:rPr>
        <w:t>תוארך התקופה לגבי</w:t>
      </w:r>
      <w:r w:rsidR="00474FEB">
        <w:rPr>
          <w:rFonts w:hint="cs"/>
          <w:rtl/>
        </w:rPr>
        <w:t xml:space="preserve"> הודעות או בקשות שונות המוגשות לרשות.</w:t>
      </w:r>
    </w:p>
    <w:p w14:paraId="706A4D25" w14:textId="77777777" w:rsidR="0018009E" w:rsidRDefault="0018009E" w:rsidP="00B619F6">
      <w:pPr>
        <w:pStyle w:val="Hesber"/>
        <w:ind w:firstLine="0"/>
        <w:rPr>
          <w:rtl/>
        </w:rPr>
      </w:pPr>
      <w:r>
        <w:rPr>
          <w:rFonts w:hint="cs"/>
          <w:rtl/>
        </w:rPr>
        <w:t xml:space="preserve">במקביל, בהתחשב בכך שגם יכולת רשות המסים לנהל הליכים שונים מוגבלת בתקופה זו, הארכת התקופות </w:t>
      </w:r>
      <w:r w:rsidR="00461A8F">
        <w:rPr>
          <w:rFonts w:hint="cs"/>
          <w:rtl/>
        </w:rPr>
        <w:t>תחול</w:t>
      </w:r>
      <w:r>
        <w:rPr>
          <w:rFonts w:hint="cs"/>
          <w:rtl/>
        </w:rPr>
        <w:t xml:space="preserve"> גם </w:t>
      </w:r>
      <w:r w:rsidR="00461A8F">
        <w:rPr>
          <w:rFonts w:hint="cs"/>
          <w:rtl/>
        </w:rPr>
        <w:t xml:space="preserve">על </w:t>
      </w:r>
      <w:r>
        <w:rPr>
          <w:rFonts w:hint="cs"/>
          <w:rtl/>
        </w:rPr>
        <w:t xml:space="preserve">הליכים שונים שמנהלת הרשות מול הנישום, </w:t>
      </w:r>
      <w:r w:rsidR="00474FEB">
        <w:rPr>
          <w:rFonts w:hint="cs"/>
          <w:rtl/>
        </w:rPr>
        <w:t>בין היתר</w:t>
      </w:r>
      <w:r>
        <w:rPr>
          <w:rFonts w:hint="cs"/>
          <w:rtl/>
        </w:rPr>
        <w:t xml:space="preserve"> בנוגע למועדים ל</w:t>
      </w:r>
      <w:r w:rsidR="002E15CC">
        <w:rPr>
          <w:rFonts w:hint="cs"/>
          <w:rtl/>
        </w:rPr>
        <w:t>קביע</w:t>
      </w:r>
      <w:r>
        <w:rPr>
          <w:rFonts w:hint="cs"/>
          <w:rtl/>
        </w:rPr>
        <w:t>ת שומות, על מנת לא לפגוע ביכולת הטיפול באותם הליכים.</w:t>
      </w:r>
    </w:p>
    <w:p w14:paraId="391E70CA" w14:textId="77777777" w:rsidR="009312A9" w:rsidRDefault="00234F6A" w:rsidP="0061741B">
      <w:pPr>
        <w:pStyle w:val="Hesber"/>
        <w:ind w:firstLine="0"/>
        <w:rPr>
          <w:rtl/>
        </w:rPr>
      </w:pPr>
      <w:r w:rsidRPr="00323B6A">
        <w:rPr>
          <w:rtl/>
        </w:rPr>
        <w:t xml:space="preserve">מוצע לקבוע כי </w:t>
      </w:r>
      <w:r>
        <w:rPr>
          <w:rFonts w:hint="cs"/>
          <w:rtl/>
        </w:rPr>
        <w:t>"התקופה הקובעת" שימיה לא יבואו במניין,</w:t>
      </w:r>
      <w:r w:rsidRPr="00323B6A">
        <w:rPr>
          <w:rtl/>
        </w:rPr>
        <w:t xml:space="preserve"> תחול מיום כ"</w:t>
      </w:r>
      <w:r>
        <w:rPr>
          <w:rFonts w:hint="cs"/>
          <w:rtl/>
        </w:rPr>
        <w:t>ב</w:t>
      </w:r>
      <w:r w:rsidRPr="00323B6A">
        <w:rPr>
          <w:rtl/>
        </w:rPr>
        <w:t xml:space="preserve"> ב</w:t>
      </w:r>
      <w:r>
        <w:rPr>
          <w:rFonts w:hint="cs"/>
          <w:rtl/>
        </w:rPr>
        <w:t>תשרי</w:t>
      </w:r>
      <w:r w:rsidRPr="00323B6A">
        <w:rPr>
          <w:rtl/>
        </w:rPr>
        <w:t xml:space="preserve"> התש</w:t>
      </w:r>
      <w:r>
        <w:rPr>
          <w:rFonts w:hint="cs"/>
          <w:rtl/>
        </w:rPr>
        <w:t>פ</w:t>
      </w:r>
      <w:r w:rsidRPr="00323B6A">
        <w:rPr>
          <w:rtl/>
        </w:rPr>
        <w:t>"</w:t>
      </w:r>
      <w:r>
        <w:rPr>
          <w:rFonts w:hint="cs"/>
          <w:rtl/>
        </w:rPr>
        <w:t>ד (7 באוקטובר 2023)</w:t>
      </w:r>
      <w:r w:rsidRPr="00323B6A">
        <w:rPr>
          <w:rtl/>
        </w:rPr>
        <w:t xml:space="preserve"> עד יום</w:t>
      </w:r>
      <w:r>
        <w:rPr>
          <w:rFonts w:hint="cs"/>
          <w:rtl/>
        </w:rPr>
        <w:t xml:space="preserve"> </w:t>
      </w:r>
      <w:r w:rsidR="005F245D">
        <w:rPr>
          <w:rFonts w:hint="cs"/>
          <w:rtl/>
        </w:rPr>
        <w:t>כ"ו</w:t>
      </w:r>
      <w:r>
        <w:rPr>
          <w:rFonts w:hint="cs"/>
          <w:rtl/>
        </w:rPr>
        <w:t xml:space="preserve"> בטבת התשפ"ד (</w:t>
      </w:r>
      <w:r w:rsidR="005F245D">
        <w:rPr>
          <w:rFonts w:hint="cs"/>
          <w:rtl/>
        </w:rPr>
        <w:t>7 בינואר 2024</w:t>
      </w:r>
      <w:r>
        <w:rPr>
          <w:rFonts w:hint="cs"/>
          <w:rtl/>
        </w:rPr>
        <w:t>).</w:t>
      </w:r>
      <w:r w:rsidR="009312A9">
        <w:rPr>
          <w:rFonts w:hint="cs"/>
          <w:rtl/>
        </w:rPr>
        <w:t xml:space="preserve"> </w:t>
      </w:r>
      <w:r w:rsidR="009312A9" w:rsidRPr="00323B6A">
        <w:rPr>
          <w:rtl/>
        </w:rPr>
        <w:t xml:space="preserve">כך לדוגמא, אם מועד סיומה של תקופה צריך היה לחול 10 ימים לאחר תחילתה של </w:t>
      </w:r>
      <w:r w:rsidR="00435718">
        <w:rPr>
          <w:rFonts w:hint="cs"/>
          <w:rtl/>
        </w:rPr>
        <w:t>ה</w:t>
      </w:r>
      <w:r w:rsidR="009312A9" w:rsidRPr="00323B6A">
        <w:rPr>
          <w:rtl/>
        </w:rPr>
        <w:t>תקופ</w:t>
      </w:r>
      <w:r w:rsidR="00435718">
        <w:rPr>
          <w:rFonts w:hint="cs"/>
          <w:rtl/>
        </w:rPr>
        <w:t>ה</w:t>
      </w:r>
      <w:r w:rsidR="009312A9" w:rsidRPr="00323B6A">
        <w:rPr>
          <w:rtl/>
        </w:rPr>
        <w:t xml:space="preserve"> ה</w:t>
      </w:r>
      <w:r w:rsidR="00435718">
        <w:rPr>
          <w:rFonts w:hint="cs"/>
          <w:rtl/>
        </w:rPr>
        <w:t>קובעת</w:t>
      </w:r>
      <w:r w:rsidR="009312A9" w:rsidRPr="00323B6A">
        <w:rPr>
          <w:rtl/>
        </w:rPr>
        <w:t xml:space="preserve">, מועד </w:t>
      </w:r>
      <w:r w:rsidR="00256579">
        <w:rPr>
          <w:rFonts w:hint="cs"/>
          <w:rtl/>
        </w:rPr>
        <w:t xml:space="preserve">תום התקופה החדש בהתאם להצעת החוק </w:t>
      </w:r>
      <w:r w:rsidR="009312A9" w:rsidRPr="00323B6A">
        <w:rPr>
          <w:rtl/>
        </w:rPr>
        <w:t xml:space="preserve">יחול 10 ימים </w:t>
      </w:r>
      <w:r w:rsidR="009312A9" w:rsidRPr="00323B6A">
        <w:rPr>
          <w:rFonts w:hint="cs"/>
          <w:rtl/>
        </w:rPr>
        <w:t>לאחר סיומה</w:t>
      </w:r>
      <w:r w:rsidR="009312A9" w:rsidRPr="00323B6A">
        <w:rPr>
          <w:rtl/>
        </w:rPr>
        <w:t xml:space="preserve"> </w:t>
      </w:r>
      <w:r w:rsidR="009312A9" w:rsidRPr="00323B6A">
        <w:rPr>
          <w:rFonts w:hint="cs"/>
          <w:rtl/>
        </w:rPr>
        <w:t>של</w:t>
      </w:r>
      <w:r w:rsidR="009312A9" w:rsidRPr="00323B6A">
        <w:rPr>
          <w:rtl/>
        </w:rPr>
        <w:t xml:space="preserve"> </w:t>
      </w:r>
      <w:r w:rsidR="00435718">
        <w:rPr>
          <w:rFonts w:hint="cs"/>
          <w:rtl/>
        </w:rPr>
        <w:t>התקופה הקובעת</w:t>
      </w:r>
      <w:r w:rsidR="009364F5">
        <w:rPr>
          <w:rFonts w:hint="cs"/>
          <w:rtl/>
        </w:rPr>
        <w:t xml:space="preserve">. </w:t>
      </w:r>
      <w:r w:rsidR="000F5565">
        <w:rPr>
          <w:rFonts w:hint="cs"/>
          <w:rtl/>
        </w:rPr>
        <w:t>ו</w:t>
      </w:r>
      <w:r w:rsidR="009364F5">
        <w:rPr>
          <w:rFonts w:hint="cs"/>
          <w:rtl/>
        </w:rPr>
        <w:t xml:space="preserve">כן, תקופה </w:t>
      </w:r>
      <w:r w:rsidR="000F5565">
        <w:rPr>
          <w:rFonts w:hint="cs"/>
          <w:rtl/>
        </w:rPr>
        <w:t>שהמועד לסיומה חל</w:t>
      </w:r>
      <w:r w:rsidR="009364F5">
        <w:rPr>
          <w:rFonts w:hint="cs"/>
          <w:rtl/>
        </w:rPr>
        <w:t xml:space="preserve"> בתוך החודשיים שאחרי סיום התקופה הקובעת,</w:t>
      </w:r>
      <w:r w:rsidR="000F5565">
        <w:rPr>
          <w:rFonts w:hint="cs"/>
          <w:rtl/>
        </w:rPr>
        <w:t xml:space="preserve"> מועד תום התקופה החדש יהיה המועד המקורי בתוספת מניין </w:t>
      </w:r>
      <w:r w:rsidR="009364F5">
        <w:rPr>
          <w:rFonts w:hint="cs"/>
          <w:rtl/>
        </w:rPr>
        <w:t>ימי התקופה הקובעת</w:t>
      </w:r>
      <w:r w:rsidR="000F5565">
        <w:rPr>
          <w:rFonts w:hint="cs"/>
          <w:rtl/>
        </w:rPr>
        <w:t xml:space="preserve"> (</w:t>
      </w:r>
      <w:r w:rsidR="004333CE">
        <w:rPr>
          <w:rFonts w:hint="cs"/>
          <w:rtl/>
        </w:rPr>
        <w:t>שלושה חודשים</w:t>
      </w:r>
      <w:r w:rsidR="000F5565">
        <w:rPr>
          <w:rFonts w:hint="cs"/>
          <w:rtl/>
        </w:rPr>
        <w:t>).</w:t>
      </w:r>
    </w:p>
    <w:p w14:paraId="5FD9C208" w14:textId="77777777" w:rsidR="00B334FB" w:rsidRDefault="00B334FB" w:rsidP="0061741B">
      <w:pPr>
        <w:pStyle w:val="Hesber"/>
        <w:ind w:firstLine="0"/>
        <w:rPr>
          <w:rtl/>
        </w:rPr>
      </w:pPr>
      <w:r>
        <w:rPr>
          <w:rFonts w:hint="cs"/>
          <w:rtl/>
        </w:rPr>
        <w:t>הוראה נפרדת בסעיף 3 להצעה עוסקת בהוספת ימים למניין תקופות בעניין מכירת דירת מגורים מזכה לפי חוק מיסוי מקרקעין.</w:t>
      </w:r>
    </w:p>
    <w:p w14:paraId="3FF5A624" w14:textId="77777777" w:rsidR="0061741B" w:rsidRDefault="0061741B" w:rsidP="0061741B">
      <w:pPr>
        <w:pStyle w:val="Hesber"/>
        <w:rPr>
          <w:rtl/>
        </w:rPr>
      </w:pPr>
      <w:r>
        <w:rPr>
          <w:rFonts w:hint="cs"/>
          <w:rtl/>
        </w:rPr>
        <w:t xml:space="preserve">יצוין כי במקביל פורסם תזכיר חקיקה העוסק בהארכת מועדים כללית וכן בדחיית מועדים בהליכים בפני בתי דין מנהליים- </w:t>
      </w:r>
      <w:r w:rsidRPr="000236A0">
        <w:rPr>
          <w:rtl/>
        </w:rPr>
        <w:t>תזכיר חוק הארכת תקופות ודחיית מועדים (הוראת שעה – חרבות ברזל)(החלטות מינהליות ופעולות מול רשות ציבורית, אומנה לילדים, תאגידים וגופים ציבוריים, בתי דין מינהליים ותכנון ובנייה), התשפ"ד-</w:t>
      </w:r>
      <w:r w:rsidRPr="003F7D99">
        <w:rPr>
          <w:rFonts w:hint="cs"/>
          <w:rtl/>
        </w:rPr>
        <w:t>2023</w:t>
      </w:r>
      <w:r>
        <w:rPr>
          <w:rFonts w:hint="cs"/>
          <w:rtl/>
        </w:rPr>
        <w:t xml:space="preserve">. אולם ענייני הליכי המס יוסדרו כאמור בהצעת </w:t>
      </w:r>
      <w:r w:rsidR="00BE26AF">
        <w:rPr>
          <w:rFonts w:hint="cs"/>
          <w:rtl/>
        </w:rPr>
        <w:t>ה</w:t>
      </w:r>
      <w:r>
        <w:rPr>
          <w:rFonts w:hint="cs"/>
          <w:rtl/>
        </w:rPr>
        <w:t>חוק להלן, המבוססת ברובה על חקיקת דחיית המועדים בענייני מס שהיתה תקיפה בתקופת הקורונה (</w:t>
      </w:r>
      <w:r w:rsidRPr="00F727A3">
        <w:rPr>
          <w:rtl/>
        </w:rPr>
        <w:t xml:space="preserve">חוק הארכת תקופות ודחיית מועדים בענייני הליכי מס ומענקי סיוע (נגיף הקורונה החדש – הוראת שעה – תיקוני חקיקה), </w:t>
      </w:r>
      <w:r w:rsidRPr="00F727A3">
        <w:rPr>
          <w:rtl/>
        </w:rPr>
        <w:lastRenderedPageBreak/>
        <w:t>תש"ף-2020</w:t>
      </w:r>
      <w:r>
        <w:rPr>
          <w:rFonts w:hint="cs"/>
          <w:rtl/>
        </w:rPr>
        <w:t>).</w:t>
      </w:r>
    </w:p>
    <w:p w14:paraId="4DF388DF" w14:textId="77777777" w:rsidR="0061741B" w:rsidRDefault="0061741B" w:rsidP="0061741B">
      <w:pPr>
        <w:pStyle w:val="Hesber"/>
        <w:rPr>
          <w:rtl/>
        </w:rPr>
      </w:pPr>
      <w:r>
        <w:rPr>
          <w:rFonts w:hint="cs"/>
          <w:rtl/>
        </w:rPr>
        <w:t>עוד יצוין כי נושא דחיית עיצומים כספיים, גם אלו המוטלים מכוח דיני המס, מוסדר בחוק הארכת תקופות ודחיית מועדים (הוראת שעה- חרבות ברזל) (אישורים רגולטוריים, עיצומים כספיים ובדיקת מתקני גז), התשפ"ד-2023.</w:t>
      </w:r>
    </w:p>
    <w:p w14:paraId="12D6AC08" w14:textId="77777777" w:rsidR="00946EC2" w:rsidRDefault="0061741B" w:rsidP="00946EC2">
      <w:pPr>
        <w:pStyle w:val="Hesber"/>
        <w:rPr>
          <w:rtl/>
        </w:rPr>
      </w:pPr>
      <w:r>
        <w:rPr>
          <w:rFonts w:hint="cs"/>
          <w:rtl/>
        </w:rPr>
        <w:t xml:space="preserve">כמו כן,  </w:t>
      </w:r>
      <w:r w:rsidR="00362D67">
        <w:rPr>
          <w:rFonts w:hint="cs"/>
          <w:rtl/>
        </w:rPr>
        <w:t xml:space="preserve">נושא </w:t>
      </w:r>
      <w:r>
        <w:rPr>
          <w:rFonts w:hint="cs"/>
          <w:rtl/>
        </w:rPr>
        <w:t>דחיית מועדים בהליכים בפני בתי משפט, כולל מועדי הגשת ערעורים, מוסדר בהכרזת שר המשפטים בדבר החלת תקנות בתי המשפט ולשכות ההוצאה לפועל(סדרי דין במצב חירום מיוחד), התשנ"א-1991.</w:t>
      </w:r>
      <w:r w:rsidR="00946EC2">
        <w:rPr>
          <w:rFonts w:hint="cs"/>
          <w:rtl/>
        </w:rPr>
        <w:t xml:space="preserve"> </w:t>
      </w:r>
    </w:p>
    <w:p w14:paraId="50925A4A" w14:textId="77777777" w:rsidR="00946EC2" w:rsidRDefault="00946EC2" w:rsidP="00946EC2">
      <w:pPr>
        <w:pStyle w:val="Hesber"/>
        <w:ind w:firstLine="0"/>
        <w:rPr>
          <w:rtl/>
        </w:rPr>
      </w:pPr>
      <w:r>
        <w:rPr>
          <w:rFonts w:hint="cs"/>
          <w:rtl/>
        </w:rPr>
        <w:t>דחיית תשלומים לרשות וכן הסדרה לעניין זה בין פרטים, ביחס למשרתי כוחות הביטחון, למפונים מבתיהם וכן לנפגעים במערכה, קבועה בחוק דחיית מועדים (הוראת שעה- חרבות ברזל) (חוזה, פסק דין או תשלום לרשות), התשפ"ד-2023.</w:t>
      </w:r>
    </w:p>
    <w:p w14:paraId="199EA93E" w14:textId="77777777" w:rsidR="009312A9" w:rsidRDefault="009312A9" w:rsidP="0061741B">
      <w:pPr>
        <w:pStyle w:val="Hesber"/>
        <w:ind w:firstLine="0"/>
        <w:rPr>
          <w:rtl/>
        </w:rPr>
      </w:pPr>
    </w:p>
    <w:p w14:paraId="76CF79A0" w14:textId="77777777" w:rsidR="009312A9" w:rsidRDefault="009312A9" w:rsidP="000B7709">
      <w:pPr>
        <w:pStyle w:val="Hesber"/>
        <w:ind w:firstLine="0"/>
        <w:rPr>
          <w:rtl/>
        </w:rPr>
      </w:pPr>
      <w:r>
        <w:rPr>
          <w:rFonts w:hint="cs"/>
          <w:rtl/>
        </w:rPr>
        <w:t>לסעיף 1</w:t>
      </w:r>
    </w:p>
    <w:p w14:paraId="1079E19E" w14:textId="77777777" w:rsidR="00487777" w:rsidRDefault="0018009E" w:rsidP="000B7709">
      <w:pPr>
        <w:pStyle w:val="Hesber"/>
        <w:ind w:firstLine="0"/>
        <w:rPr>
          <w:rtl/>
        </w:rPr>
      </w:pPr>
      <w:r w:rsidRPr="00323B6A">
        <w:rPr>
          <w:rtl/>
        </w:rPr>
        <w:t xml:space="preserve">מוצע לקבוע כי </w:t>
      </w:r>
      <w:r>
        <w:rPr>
          <w:rFonts w:hint="cs"/>
          <w:rtl/>
        </w:rPr>
        <w:t>"התקופה הקובעת" שימיה לא יבואו במניין התקופות עליהן חל החוק,</w:t>
      </w:r>
      <w:r w:rsidRPr="00323B6A">
        <w:rPr>
          <w:rtl/>
        </w:rPr>
        <w:t xml:space="preserve"> תחול מיום כ"</w:t>
      </w:r>
      <w:r>
        <w:rPr>
          <w:rFonts w:hint="cs"/>
          <w:rtl/>
        </w:rPr>
        <w:t>ב</w:t>
      </w:r>
      <w:r w:rsidRPr="00323B6A">
        <w:rPr>
          <w:rtl/>
        </w:rPr>
        <w:t xml:space="preserve"> ב</w:t>
      </w:r>
      <w:r>
        <w:rPr>
          <w:rFonts w:hint="cs"/>
          <w:rtl/>
        </w:rPr>
        <w:t>תשרי</w:t>
      </w:r>
      <w:r w:rsidRPr="00323B6A">
        <w:rPr>
          <w:rtl/>
        </w:rPr>
        <w:t xml:space="preserve"> התש</w:t>
      </w:r>
      <w:r>
        <w:rPr>
          <w:rFonts w:hint="cs"/>
          <w:rtl/>
        </w:rPr>
        <w:t>פ</w:t>
      </w:r>
      <w:r w:rsidRPr="00323B6A">
        <w:rPr>
          <w:rtl/>
        </w:rPr>
        <w:t>"</w:t>
      </w:r>
      <w:r>
        <w:rPr>
          <w:rFonts w:hint="cs"/>
          <w:rtl/>
        </w:rPr>
        <w:t>ד (7 באוקטובר 2023)</w:t>
      </w:r>
      <w:r w:rsidRPr="00323B6A">
        <w:rPr>
          <w:rtl/>
        </w:rPr>
        <w:t xml:space="preserve"> עד יום</w:t>
      </w:r>
      <w:r>
        <w:rPr>
          <w:rFonts w:hint="cs"/>
          <w:rtl/>
        </w:rPr>
        <w:t xml:space="preserve"> </w:t>
      </w:r>
      <w:r w:rsidR="00E46851">
        <w:rPr>
          <w:rFonts w:hint="cs"/>
          <w:rtl/>
        </w:rPr>
        <w:t>כ"ו</w:t>
      </w:r>
      <w:r>
        <w:rPr>
          <w:rFonts w:hint="cs"/>
          <w:rtl/>
        </w:rPr>
        <w:t xml:space="preserve"> בטבת התשפ"ד (</w:t>
      </w:r>
      <w:r w:rsidR="00E46851">
        <w:rPr>
          <w:rFonts w:hint="cs"/>
          <w:rtl/>
        </w:rPr>
        <w:t>7 בינואר 2024</w:t>
      </w:r>
      <w:r>
        <w:rPr>
          <w:rFonts w:hint="cs"/>
          <w:rtl/>
        </w:rPr>
        <w:t xml:space="preserve">). </w:t>
      </w:r>
    </w:p>
    <w:p w14:paraId="2ED132DB" w14:textId="77777777" w:rsidR="00487777" w:rsidRDefault="00487777" w:rsidP="000B7709">
      <w:pPr>
        <w:pStyle w:val="Hesber"/>
        <w:ind w:firstLine="0"/>
        <w:rPr>
          <w:rtl/>
        </w:rPr>
      </w:pPr>
    </w:p>
    <w:p w14:paraId="2A98C7D6" w14:textId="77777777" w:rsidR="00256579" w:rsidRDefault="00256579" w:rsidP="000B7709">
      <w:pPr>
        <w:pStyle w:val="Hesber"/>
        <w:ind w:firstLine="0"/>
        <w:rPr>
          <w:rtl/>
        </w:rPr>
      </w:pPr>
      <w:r>
        <w:rPr>
          <w:rFonts w:hint="cs"/>
          <w:rtl/>
        </w:rPr>
        <w:t>לסעיף 2</w:t>
      </w:r>
    </w:p>
    <w:p w14:paraId="42373322" w14:textId="77777777" w:rsidR="00435718" w:rsidRDefault="00435718" w:rsidP="00BC7457">
      <w:pPr>
        <w:pStyle w:val="Hesber"/>
        <w:ind w:firstLine="0"/>
      </w:pPr>
      <w:r>
        <w:rPr>
          <w:rFonts w:hint="cs"/>
          <w:rtl/>
        </w:rPr>
        <w:t>הסעיף קובע כי לגבי התקופות</w:t>
      </w:r>
      <w:r w:rsidR="00CF4B0F">
        <w:rPr>
          <w:rFonts w:hint="cs"/>
          <w:rtl/>
        </w:rPr>
        <w:t xml:space="preserve"> הקצובות בזמן</w:t>
      </w:r>
      <w:r>
        <w:rPr>
          <w:rFonts w:hint="cs"/>
          <w:rtl/>
        </w:rPr>
        <w:t xml:space="preserve"> המפורטות בסעיפי החוק להלן, לא תבוא במניין הימים התקופה  הקובעת</w:t>
      </w:r>
      <w:r w:rsidR="00BE26AF">
        <w:rPr>
          <w:rFonts w:hint="cs"/>
          <w:rtl/>
        </w:rPr>
        <w:t>,</w:t>
      </w:r>
      <w:r>
        <w:rPr>
          <w:rFonts w:hint="cs"/>
          <w:rtl/>
        </w:rPr>
        <w:t xml:space="preserve"> אם התקיימו לגביהן שני תנאים :</w:t>
      </w:r>
      <w:r w:rsidR="00BC7457">
        <w:rPr>
          <w:rFonts w:hint="cs"/>
          <w:rtl/>
        </w:rPr>
        <w:t xml:space="preserve"> (א) </w:t>
      </w:r>
      <w:r>
        <w:rPr>
          <w:rFonts w:hint="cs"/>
          <w:rtl/>
        </w:rPr>
        <w:t>מועד תחילתן חל לפני תום התקופה הקובעת;</w:t>
      </w:r>
      <w:r w:rsidR="00BC7457">
        <w:rPr>
          <w:rFonts w:hint="cs"/>
          <w:rtl/>
        </w:rPr>
        <w:t xml:space="preserve"> (ב) </w:t>
      </w:r>
      <w:r>
        <w:rPr>
          <w:rFonts w:hint="cs"/>
          <w:rtl/>
        </w:rPr>
        <w:t>מועד סיומן חל בתקופה הקובעת או בחודשיים שאחריה.</w:t>
      </w:r>
      <w:r w:rsidR="00BC7457">
        <w:rPr>
          <w:rFonts w:hint="cs"/>
          <w:rtl/>
        </w:rPr>
        <w:t xml:space="preserve"> </w:t>
      </w:r>
    </w:p>
    <w:p w14:paraId="5AB189C0" w14:textId="77777777" w:rsidR="00BC7457" w:rsidRDefault="0097557F" w:rsidP="00BC7457">
      <w:pPr>
        <w:pStyle w:val="Hesber"/>
        <w:ind w:firstLine="0"/>
      </w:pPr>
      <w:r>
        <w:rPr>
          <w:rFonts w:hint="cs"/>
          <w:rtl/>
        </w:rPr>
        <w:t>להלן פירוט אודות סעיפי החוק:</w:t>
      </w:r>
    </w:p>
    <w:p w14:paraId="67FE61E4" w14:textId="77777777" w:rsidR="00487777" w:rsidRDefault="005E69B9" w:rsidP="000B7709">
      <w:pPr>
        <w:pStyle w:val="Hesber"/>
        <w:ind w:firstLine="0"/>
        <w:rPr>
          <w:rtl/>
        </w:rPr>
      </w:pPr>
      <w:r>
        <w:rPr>
          <w:rFonts w:hint="cs"/>
          <w:rtl/>
        </w:rPr>
        <w:t>פקודת מס הכנסה:</w:t>
      </w:r>
    </w:p>
    <w:p w14:paraId="24FE4B2F" w14:textId="77777777" w:rsidR="009312A9" w:rsidRDefault="00256579" w:rsidP="00EE7029">
      <w:pPr>
        <w:pStyle w:val="Hesber"/>
        <w:numPr>
          <w:ilvl w:val="0"/>
          <w:numId w:val="20"/>
        </w:numPr>
      </w:pPr>
      <w:r>
        <w:rPr>
          <w:rFonts w:hint="cs"/>
          <w:rtl/>
        </w:rPr>
        <w:t>מועדים להגשת הודעות שונות על ידי נישום בנוגע לחברת בית, וכן מועדי השגה ושומה בנוגע לחברת בית;</w:t>
      </w:r>
    </w:p>
    <w:p w14:paraId="4A971E5E" w14:textId="77777777" w:rsidR="00256579" w:rsidRDefault="002828D4" w:rsidP="00256579">
      <w:pPr>
        <w:pStyle w:val="Hesber"/>
        <w:numPr>
          <w:ilvl w:val="0"/>
          <w:numId w:val="20"/>
        </w:numPr>
      </w:pPr>
      <w:r>
        <w:rPr>
          <w:rFonts w:hint="cs"/>
          <w:rtl/>
        </w:rPr>
        <w:t>מועדים להגשת הודעות שונות על ידי נישום בעניין חברה משפחתית</w:t>
      </w:r>
      <w:r w:rsidR="00461A8F">
        <w:rPr>
          <w:rFonts w:hint="cs"/>
          <w:rtl/>
        </w:rPr>
        <w:t>;</w:t>
      </w:r>
    </w:p>
    <w:p w14:paraId="2274E340" w14:textId="77777777" w:rsidR="00461A8F" w:rsidRDefault="00461A8F" w:rsidP="00256579">
      <w:pPr>
        <w:pStyle w:val="Hesber"/>
        <w:numPr>
          <w:ilvl w:val="0"/>
          <w:numId w:val="20"/>
        </w:numPr>
      </w:pPr>
      <w:r>
        <w:rPr>
          <w:rFonts w:hint="cs"/>
          <w:rtl/>
        </w:rPr>
        <w:t>הגשת השגה על ידי בן זוג;</w:t>
      </w:r>
    </w:p>
    <w:p w14:paraId="793EE5B0" w14:textId="77777777" w:rsidR="00461A8F" w:rsidRDefault="000955B3" w:rsidP="00256579">
      <w:pPr>
        <w:pStyle w:val="Hesber"/>
        <w:numPr>
          <w:ilvl w:val="0"/>
          <w:numId w:val="20"/>
        </w:numPr>
      </w:pPr>
      <w:r>
        <w:rPr>
          <w:rFonts w:hint="cs"/>
          <w:rtl/>
        </w:rPr>
        <w:t xml:space="preserve">תקופה למתן </w:t>
      </w:r>
      <w:r w:rsidR="00461A8F">
        <w:rPr>
          <w:rFonts w:hint="cs"/>
          <w:rtl/>
        </w:rPr>
        <w:t>החלטת מנהל בעניין בקשה במחירי העברה בעסקה בין- לאומית;</w:t>
      </w:r>
    </w:p>
    <w:p w14:paraId="7CFE902A" w14:textId="77777777" w:rsidR="00EC099A" w:rsidRDefault="000955B3" w:rsidP="00256579">
      <w:pPr>
        <w:pStyle w:val="Hesber"/>
        <w:numPr>
          <w:ilvl w:val="0"/>
          <w:numId w:val="20"/>
        </w:numPr>
      </w:pPr>
      <w:r>
        <w:rPr>
          <w:rFonts w:hint="cs"/>
          <w:rtl/>
        </w:rPr>
        <w:t xml:space="preserve">מועד </w:t>
      </w:r>
      <w:r w:rsidR="00EC099A">
        <w:rPr>
          <w:rFonts w:hint="cs"/>
          <w:rtl/>
        </w:rPr>
        <w:t>דיווח של ישות אם סופית בקבוצה רב לאומית;</w:t>
      </w:r>
    </w:p>
    <w:p w14:paraId="4CED8595" w14:textId="77777777" w:rsidR="007D69BC" w:rsidRDefault="007D69BC" w:rsidP="00256579">
      <w:pPr>
        <w:pStyle w:val="Hesber"/>
        <w:numPr>
          <w:ilvl w:val="0"/>
          <w:numId w:val="20"/>
        </w:numPr>
      </w:pPr>
      <w:r>
        <w:rPr>
          <w:rFonts w:hint="cs"/>
          <w:rtl/>
        </w:rPr>
        <w:t>מועדים למתן החלטת מנהל בעניין</w:t>
      </w:r>
      <w:r w:rsidR="00A55951">
        <w:rPr>
          <w:rFonts w:hint="cs"/>
          <w:rtl/>
        </w:rPr>
        <w:t xml:space="preserve"> בחירת</w:t>
      </w:r>
      <w:r>
        <w:rPr>
          <w:rFonts w:hint="cs"/>
          <w:rtl/>
        </w:rPr>
        <w:t xml:space="preserve"> מסלול מיסוי בהקצאת מניות לעובדים</w:t>
      </w:r>
      <w:r w:rsidR="00A55951">
        <w:rPr>
          <w:rFonts w:hint="cs"/>
          <w:rtl/>
        </w:rPr>
        <w:t>,</w:t>
      </w:r>
      <w:r>
        <w:rPr>
          <w:rFonts w:hint="cs"/>
          <w:rtl/>
        </w:rPr>
        <w:t xml:space="preserve"> ו</w:t>
      </w:r>
      <w:r w:rsidR="00A55951">
        <w:rPr>
          <w:rFonts w:hint="cs"/>
          <w:rtl/>
        </w:rPr>
        <w:t xml:space="preserve">בעניין </w:t>
      </w:r>
      <w:r>
        <w:rPr>
          <w:rFonts w:hint="cs"/>
          <w:rtl/>
        </w:rPr>
        <w:t>תוכניות מיזוג;</w:t>
      </w:r>
    </w:p>
    <w:p w14:paraId="4F2A7560" w14:textId="77777777" w:rsidR="00446C7C" w:rsidRDefault="00446C7C" w:rsidP="00256579">
      <w:pPr>
        <w:pStyle w:val="Hesber"/>
        <w:numPr>
          <w:ilvl w:val="0"/>
          <w:numId w:val="20"/>
        </w:numPr>
      </w:pPr>
      <w:r>
        <w:rPr>
          <w:rFonts w:hint="cs"/>
          <w:rtl/>
        </w:rPr>
        <w:t>תקופה לגביית חוב מס ממי שהועברו אליו נכסים, וכן תקופה להשגה על העברה זו;</w:t>
      </w:r>
    </w:p>
    <w:p w14:paraId="2AE5D252" w14:textId="77777777" w:rsidR="00446C7C" w:rsidRDefault="00AB369F" w:rsidP="00256579">
      <w:pPr>
        <w:pStyle w:val="Hesber"/>
        <w:numPr>
          <w:ilvl w:val="0"/>
          <w:numId w:val="20"/>
        </w:numPr>
      </w:pPr>
      <w:r>
        <w:rPr>
          <w:rFonts w:hint="cs"/>
          <w:rtl/>
        </w:rPr>
        <w:t xml:space="preserve">מועדים להגשת ערעורים שונים לפני הועדה לקבילות פנקסים; </w:t>
      </w:r>
    </w:p>
    <w:p w14:paraId="4DC26396" w14:textId="77777777" w:rsidR="00A560A0" w:rsidRDefault="00A560A0" w:rsidP="00256579">
      <w:pPr>
        <w:pStyle w:val="Hesber"/>
        <w:numPr>
          <w:ilvl w:val="0"/>
          <w:numId w:val="20"/>
        </w:numPr>
      </w:pPr>
      <w:r>
        <w:rPr>
          <w:rFonts w:hint="cs"/>
          <w:rtl/>
        </w:rPr>
        <w:t>התקופה לפרסום עמדות חייבות בדיווח;</w:t>
      </w:r>
    </w:p>
    <w:p w14:paraId="35735C7E" w14:textId="77777777" w:rsidR="00AB369F" w:rsidRDefault="00AB369F" w:rsidP="00256579">
      <w:pPr>
        <w:pStyle w:val="Hesber"/>
        <w:numPr>
          <w:ilvl w:val="0"/>
          <w:numId w:val="20"/>
        </w:numPr>
      </w:pPr>
      <w:r>
        <w:rPr>
          <w:rFonts w:hint="cs"/>
          <w:rtl/>
        </w:rPr>
        <w:t>המועד לקביעת ש</w:t>
      </w:r>
      <w:r w:rsidRPr="006E636A">
        <w:rPr>
          <w:rFonts w:hint="cs"/>
          <w:rtl/>
        </w:rPr>
        <w:t>ומה</w:t>
      </w:r>
      <w:r>
        <w:rPr>
          <w:rFonts w:hint="cs"/>
          <w:rtl/>
        </w:rPr>
        <w:t>;</w:t>
      </w:r>
    </w:p>
    <w:p w14:paraId="25B00FF0" w14:textId="77777777" w:rsidR="00AB369F" w:rsidRDefault="005E69B9" w:rsidP="00256579">
      <w:pPr>
        <w:pStyle w:val="Hesber"/>
        <w:numPr>
          <w:ilvl w:val="0"/>
          <w:numId w:val="20"/>
        </w:numPr>
      </w:pPr>
      <w:r>
        <w:rPr>
          <w:rFonts w:hint="cs"/>
          <w:rtl/>
        </w:rPr>
        <w:t>מועד ל</w:t>
      </w:r>
      <w:r w:rsidR="00AB369F">
        <w:rPr>
          <w:rFonts w:hint="cs"/>
          <w:rtl/>
        </w:rPr>
        <w:t>עיון חוזר בהחלט</w:t>
      </w:r>
      <w:r>
        <w:rPr>
          <w:rFonts w:hint="cs"/>
          <w:rtl/>
        </w:rPr>
        <w:t>ת פקיד שומה</w:t>
      </w:r>
      <w:r w:rsidR="00AB369F">
        <w:rPr>
          <w:rFonts w:hint="cs"/>
          <w:rtl/>
        </w:rPr>
        <w:t xml:space="preserve"> על פסילת ספרים בשל אי רישום תקבול;</w:t>
      </w:r>
    </w:p>
    <w:p w14:paraId="6E602C92" w14:textId="77777777" w:rsidR="00AB369F" w:rsidRDefault="000955B3" w:rsidP="00256579">
      <w:pPr>
        <w:pStyle w:val="Hesber"/>
        <w:numPr>
          <w:ilvl w:val="0"/>
          <w:numId w:val="20"/>
        </w:numPr>
      </w:pPr>
      <w:r>
        <w:rPr>
          <w:rFonts w:hint="cs"/>
          <w:rtl/>
        </w:rPr>
        <w:lastRenderedPageBreak/>
        <w:t>תיקון שומה לאחר הרשעה בעבירה;</w:t>
      </w:r>
    </w:p>
    <w:p w14:paraId="7A9ADAB1" w14:textId="77777777" w:rsidR="000955B3" w:rsidRDefault="000955B3" w:rsidP="00256579">
      <w:pPr>
        <w:pStyle w:val="Hesber"/>
        <w:numPr>
          <w:ilvl w:val="0"/>
          <w:numId w:val="20"/>
        </w:numPr>
      </w:pPr>
      <w:r>
        <w:rPr>
          <w:rFonts w:hint="cs"/>
          <w:rtl/>
        </w:rPr>
        <w:t xml:space="preserve"> תקופה ל</w:t>
      </w:r>
      <w:r w:rsidR="003F1AFA">
        <w:rPr>
          <w:rFonts w:hint="cs"/>
          <w:rtl/>
        </w:rPr>
        <w:t>הגשת</w:t>
      </w:r>
      <w:r>
        <w:rPr>
          <w:rFonts w:hint="cs"/>
          <w:rtl/>
        </w:rPr>
        <w:t xml:space="preserve"> השגה </w:t>
      </w:r>
      <w:r w:rsidR="005E69B9">
        <w:rPr>
          <w:rFonts w:hint="cs"/>
          <w:rtl/>
        </w:rPr>
        <w:t>על שומה;</w:t>
      </w:r>
    </w:p>
    <w:p w14:paraId="21C4A9AB" w14:textId="77777777" w:rsidR="000955B3" w:rsidRDefault="000955B3" w:rsidP="00256579">
      <w:pPr>
        <w:pStyle w:val="Hesber"/>
        <w:numPr>
          <w:ilvl w:val="0"/>
          <w:numId w:val="20"/>
        </w:numPr>
      </w:pPr>
      <w:r>
        <w:rPr>
          <w:rFonts w:hint="cs"/>
          <w:rtl/>
        </w:rPr>
        <w:t xml:space="preserve"> תקופה לקבלת השגה בהעדר הסכם או צו</w:t>
      </w:r>
      <w:r w:rsidR="003F1AFA">
        <w:rPr>
          <w:rFonts w:hint="cs"/>
          <w:rtl/>
        </w:rPr>
        <w:t>;</w:t>
      </w:r>
    </w:p>
    <w:p w14:paraId="10ADD838" w14:textId="77777777" w:rsidR="007D69BC" w:rsidRDefault="007D69BC" w:rsidP="00256579">
      <w:pPr>
        <w:pStyle w:val="Hesber"/>
        <w:numPr>
          <w:ilvl w:val="0"/>
          <w:numId w:val="20"/>
        </w:numPr>
      </w:pPr>
      <w:r>
        <w:rPr>
          <w:rFonts w:hint="cs"/>
          <w:rtl/>
        </w:rPr>
        <w:t xml:space="preserve"> תקופה ל</w:t>
      </w:r>
      <w:r w:rsidR="005078DB">
        <w:rPr>
          <w:rFonts w:hint="cs"/>
          <w:rtl/>
        </w:rPr>
        <w:t>הגש</w:t>
      </w:r>
      <w:r w:rsidR="00654D15">
        <w:rPr>
          <w:rFonts w:hint="cs"/>
          <w:rtl/>
        </w:rPr>
        <w:t xml:space="preserve">ת דו"ח לעניין </w:t>
      </w:r>
      <w:r>
        <w:rPr>
          <w:rFonts w:hint="cs"/>
          <w:rtl/>
        </w:rPr>
        <w:t>החזר מס;</w:t>
      </w:r>
    </w:p>
    <w:p w14:paraId="784CA0AD" w14:textId="77777777" w:rsidR="00EE7029" w:rsidRDefault="00EE7029" w:rsidP="00EE7029">
      <w:pPr>
        <w:pStyle w:val="Hesber"/>
        <w:numPr>
          <w:ilvl w:val="0"/>
          <w:numId w:val="20"/>
        </w:numPr>
      </w:pPr>
      <w:r>
        <w:rPr>
          <w:rFonts w:hint="cs"/>
          <w:rtl/>
        </w:rPr>
        <w:t xml:space="preserve"> </w:t>
      </w:r>
      <w:r w:rsidR="003F1AFA">
        <w:rPr>
          <w:rFonts w:hint="cs"/>
          <w:rtl/>
        </w:rPr>
        <w:t>תקופה לקביעת שומת ניכויים;</w:t>
      </w:r>
    </w:p>
    <w:p w14:paraId="2EBCFFDD" w14:textId="77777777" w:rsidR="003F1AFA" w:rsidRDefault="00EE7029" w:rsidP="00EE7029">
      <w:pPr>
        <w:pStyle w:val="Hesber"/>
        <w:numPr>
          <w:ilvl w:val="0"/>
          <w:numId w:val="20"/>
        </w:numPr>
      </w:pPr>
      <w:r>
        <w:rPr>
          <w:rFonts w:hint="cs"/>
          <w:rtl/>
        </w:rPr>
        <w:t xml:space="preserve"> </w:t>
      </w:r>
      <w:r w:rsidR="003F1AFA">
        <w:rPr>
          <w:rFonts w:hint="cs"/>
          <w:rtl/>
        </w:rPr>
        <w:t>תקופה להגשת השגה על שומת ניכויים.</w:t>
      </w:r>
    </w:p>
    <w:p w14:paraId="23B0943C" w14:textId="77777777" w:rsidR="005E69B9" w:rsidRPr="00B70AC8" w:rsidRDefault="005E69B9" w:rsidP="00B70AC8">
      <w:pPr>
        <w:pStyle w:val="Hesber"/>
        <w:spacing w:before="120" w:after="120"/>
        <w:rPr>
          <w:sz w:val="26"/>
          <w:rtl/>
        </w:rPr>
      </w:pPr>
    </w:p>
    <w:p w14:paraId="48337832" w14:textId="77777777" w:rsidR="005E69B9" w:rsidRPr="00532AA6" w:rsidRDefault="005E69B9" w:rsidP="00B70AC8">
      <w:pPr>
        <w:pStyle w:val="Hesber"/>
        <w:spacing w:before="120" w:after="120"/>
        <w:rPr>
          <w:sz w:val="26"/>
          <w:rtl/>
        </w:rPr>
      </w:pPr>
      <w:r w:rsidRPr="00532AA6">
        <w:rPr>
          <w:rFonts w:hint="cs"/>
          <w:sz w:val="26"/>
          <w:rtl/>
        </w:rPr>
        <w:t>מס ערך מוסף</w:t>
      </w:r>
      <w:r w:rsidR="00532AA6" w:rsidRPr="00532AA6">
        <w:rPr>
          <w:rFonts w:hint="cs"/>
          <w:sz w:val="26"/>
          <w:rtl/>
        </w:rPr>
        <w:t>:</w:t>
      </w:r>
    </w:p>
    <w:p w14:paraId="7996EB0E" w14:textId="77777777" w:rsidR="009312A9" w:rsidRPr="00B70AC8" w:rsidRDefault="00EE7029" w:rsidP="00EE7029">
      <w:pPr>
        <w:spacing w:before="120" w:after="12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(1) </w:t>
      </w:r>
      <w:r w:rsidR="00867709" w:rsidRPr="00B70AC8">
        <w:rPr>
          <w:rFonts w:hint="cs"/>
          <w:sz w:val="26"/>
          <w:szCs w:val="26"/>
          <w:rtl/>
        </w:rPr>
        <w:t xml:space="preserve">המועדים להחזרת מס תשומות עודף למי </w:t>
      </w:r>
      <w:r w:rsidR="00B13CFC">
        <w:rPr>
          <w:rFonts w:hint="cs"/>
          <w:sz w:val="26"/>
          <w:szCs w:val="26"/>
          <w:rtl/>
        </w:rPr>
        <w:t>ש</w:t>
      </w:r>
      <w:r w:rsidR="00867709" w:rsidRPr="00B70AC8">
        <w:rPr>
          <w:rFonts w:hint="cs"/>
          <w:sz w:val="26"/>
          <w:szCs w:val="26"/>
          <w:rtl/>
        </w:rPr>
        <w:t>פנקסיו נבדקים או נחשד בעבירה</w:t>
      </w:r>
      <w:r w:rsidR="00B13CFC">
        <w:rPr>
          <w:rFonts w:hint="cs"/>
          <w:sz w:val="26"/>
          <w:szCs w:val="26"/>
          <w:rtl/>
        </w:rPr>
        <w:t xml:space="preserve"> לפי חוק מס ערך </w:t>
      </w:r>
      <w:r>
        <w:rPr>
          <w:rFonts w:hint="cs"/>
          <w:sz w:val="26"/>
          <w:szCs w:val="26"/>
          <w:rtl/>
        </w:rPr>
        <w:t xml:space="preserve"> </w:t>
      </w:r>
      <w:r w:rsidR="00B13CFC">
        <w:rPr>
          <w:rFonts w:hint="cs"/>
          <w:sz w:val="26"/>
          <w:szCs w:val="26"/>
          <w:rtl/>
        </w:rPr>
        <w:t>מוסף, התשל"ו-1975</w:t>
      </w:r>
      <w:r w:rsidR="00867709" w:rsidRPr="00B70AC8">
        <w:rPr>
          <w:rFonts w:hint="cs"/>
          <w:sz w:val="26"/>
          <w:szCs w:val="26"/>
          <w:rtl/>
        </w:rPr>
        <w:t>;</w:t>
      </w:r>
    </w:p>
    <w:p w14:paraId="2DC47092" w14:textId="77777777" w:rsidR="00867709" w:rsidRPr="00B70AC8" w:rsidRDefault="001645D9" w:rsidP="00B70AC8">
      <w:pPr>
        <w:spacing w:before="120" w:after="120"/>
        <w:rPr>
          <w:sz w:val="26"/>
          <w:szCs w:val="26"/>
          <w:rtl/>
        </w:rPr>
      </w:pPr>
      <w:r w:rsidRPr="00B70AC8">
        <w:rPr>
          <w:rFonts w:hint="cs"/>
          <w:sz w:val="26"/>
          <w:szCs w:val="26"/>
          <w:rtl/>
        </w:rPr>
        <w:t>(</w:t>
      </w:r>
      <w:r w:rsidR="00EE7029">
        <w:rPr>
          <w:rFonts w:hint="cs"/>
          <w:sz w:val="26"/>
          <w:szCs w:val="26"/>
          <w:rtl/>
        </w:rPr>
        <w:t>2</w:t>
      </w:r>
      <w:r w:rsidRPr="00B70AC8">
        <w:rPr>
          <w:rFonts w:hint="cs"/>
          <w:sz w:val="26"/>
          <w:szCs w:val="26"/>
          <w:rtl/>
        </w:rPr>
        <w:t>) מועד למתן החלט</w:t>
      </w:r>
      <w:r w:rsidR="00B13CFC">
        <w:rPr>
          <w:rFonts w:hint="cs"/>
          <w:sz w:val="26"/>
          <w:szCs w:val="26"/>
          <w:rtl/>
        </w:rPr>
        <w:t>ת מנהל</w:t>
      </w:r>
      <w:r w:rsidRPr="00B70AC8">
        <w:rPr>
          <w:rFonts w:hint="cs"/>
          <w:sz w:val="26"/>
          <w:szCs w:val="26"/>
          <w:rtl/>
        </w:rPr>
        <w:t xml:space="preserve"> בבקשות שונות, שאם לא ניתנת החלטה</w:t>
      </w:r>
      <w:r w:rsidR="00B13CFC">
        <w:rPr>
          <w:rFonts w:hint="cs"/>
          <w:sz w:val="26"/>
          <w:szCs w:val="26"/>
          <w:rtl/>
        </w:rPr>
        <w:t xml:space="preserve"> בעניינן</w:t>
      </w:r>
      <w:r w:rsidRPr="00B70AC8">
        <w:rPr>
          <w:rFonts w:hint="cs"/>
          <w:sz w:val="26"/>
          <w:szCs w:val="26"/>
          <w:rtl/>
        </w:rPr>
        <w:t>- נידחות;</w:t>
      </w:r>
    </w:p>
    <w:p w14:paraId="641F6DE0" w14:textId="77777777" w:rsidR="001645D9" w:rsidRPr="00B70AC8" w:rsidRDefault="00EE7029" w:rsidP="00B70AC8">
      <w:pPr>
        <w:spacing w:before="120" w:after="12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(3</w:t>
      </w:r>
      <w:r w:rsidR="001645D9" w:rsidRPr="00B70AC8">
        <w:rPr>
          <w:rFonts w:hint="cs"/>
          <w:sz w:val="26"/>
          <w:szCs w:val="26"/>
          <w:rtl/>
        </w:rPr>
        <w:t>) המועד להוצאת שומה;</w:t>
      </w:r>
    </w:p>
    <w:p w14:paraId="24C7063D" w14:textId="77777777" w:rsidR="00904FED" w:rsidRDefault="00B70AC8" w:rsidP="00B70AC8">
      <w:pPr>
        <w:spacing w:before="120" w:after="120"/>
        <w:rPr>
          <w:sz w:val="26"/>
          <w:szCs w:val="26"/>
          <w:rtl/>
        </w:rPr>
      </w:pPr>
      <w:r w:rsidRPr="00B70AC8">
        <w:rPr>
          <w:rFonts w:hint="cs"/>
          <w:sz w:val="26"/>
          <w:szCs w:val="26"/>
          <w:rtl/>
        </w:rPr>
        <w:t>(</w:t>
      </w:r>
      <w:r w:rsidR="00EE7029">
        <w:rPr>
          <w:rFonts w:hint="cs"/>
          <w:sz w:val="26"/>
          <w:szCs w:val="26"/>
          <w:rtl/>
        </w:rPr>
        <w:t>4</w:t>
      </w:r>
      <w:r w:rsidRPr="00B70AC8">
        <w:rPr>
          <w:rFonts w:hint="cs"/>
          <w:sz w:val="26"/>
          <w:szCs w:val="26"/>
          <w:rtl/>
        </w:rPr>
        <w:t>) תיקון קביעת מס או שומה</w:t>
      </w:r>
      <w:r>
        <w:rPr>
          <w:rFonts w:hint="cs"/>
          <w:sz w:val="26"/>
          <w:szCs w:val="26"/>
          <w:rtl/>
        </w:rPr>
        <w:t>;</w:t>
      </w:r>
    </w:p>
    <w:p w14:paraId="0247202A" w14:textId="77777777" w:rsidR="00B70AC8" w:rsidRDefault="00B70AC8" w:rsidP="00B70AC8">
      <w:pPr>
        <w:spacing w:before="120" w:after="12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(</w:t>
      </w:r>
      <w:r w:rsidR="00EE7029">
        <w:rPr>
          <w:rFonts w:hint="cs"/>
          <w:sz w:val="26"/>
          <w:szCs w:val="26"/>
          <w:rtl/>
        </w:rPr>
        <w:t>5</w:t>
      </w:r>
      <w:r>
        <w:rPr>
          <w:rFonts w:hint="cs"/>
          <w:sz w:val="26"/>
          <w:szCs w:val="26"/>
          <w:rtl/>
        </w:rPr>
        <w:t>) המועד להגשת השגה</w:t>
      </w:r>
      <w:r w:rsidR="00692D41">
        <w:rPr>
          <w:rFonts w:hint="cs"/>
          <w:sz w:val="26"/>
          <w:szCs w:val="26"/>
          <w:rtl/>
        </w:rPr>
        <w:t>, ולמתן החלטה בהשגה</w:t>
      </w:r>
      <w:r w:rsidR="00B13CFC">
        <w:rPr>
          <w:rFonts w:hint="cs"/>
          <w:sz w:val="26"/>
          <w:szCs w:val="26"/>
          <w:rtl/>
        </w:rPr>
        <w:t>;</w:t>
      </w:r>
    </w:p>
    <w:p w14:paraId="7DA9A21A" w14:textId="77777777" w:rsidR="00B13CFC" w:rsidRDefault="003554BA" w:rsidP="00B70AC8">
      <w:pPr>
        <w:spacing w:before="120" w:after="12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(</w:t>
      </w:r>
      <w:r w:rsidR="00EE7029">
        <w:rPr>
          <w:rFonts w:hint="cs"/>
          <w:sz w:val="26"/>
          <w:szCs w:val="26"/>
          <w:rtl/>
        </w:rPr>
        <w:t>6</w:t>
      </w:r>
      <w:r>
        <w:rPr>
          <w:rFonts w:hint="cs"/>
          <w:sz w:val="26"/>
          <w:szCs w:val="26"/>
          <w:rtl/>
        </w:rPr>
        <w:t>) ערעור על החלטת מנהל בנושא פסילת ספרים;</w:t>
      </w:r>
    </w:p>
    <w:p w14:paraId="6FBCBE26" w14:textId="77777777" w:rsidR="00B70AC8" w:rsidRDefault="003C7851" w:rsidP="00B70AC8">
      <w:pPr>
        <w:spacing w:before="120" w:after="12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(</w:t>
      </w:r>
      <w:r w:rsidR="00EE7029">
        <w:rPr>
          <w:rFonts w:hint="cs"/>
          <w:sz w:val="26"/>
          <w:szCs w:val="26"/>
          <w:rtl/>
        </w:rPr>
        <w:t>7</w:t>
      </w:r>
      <w:r>
        <w:rPr>
          <w:rFonts w:hint="cs"/>
          <w:sz w:val="26"/>
          <w:szCs w:val="26"/>
          <w:rtl/>
        </w:rPr>
        <w:t>) תקופה לתיקון פגם בניהול פנקסי חשבונות או רשומות</w:t>
      </w:r>
      <w:r w:rsidR="006D7A0D">
        <w:rPr>
          <w:rFonts w:hint="cs"/>
          <w:sz w:val="26"/>
          <w:szCs w:val="26"/>
          <w:rtl/>
        </w:rPr>
        <w:t>;</w:t>
      </w:r>
    </w:p>
    <w:p w14:paraId="36D7AE91" w14:textId="77777777" w:rsidR="006D7A0D" w:rsidRDefault="006D7A0D" w:rsidP="00B70AC8">
      <w:pPr>
        <w:spacing w:before="120" w:after="12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(</w:t>
      </w:r>
      <w:r w:rsidR="00EE7029">
        <w:rPr>
          <w:rFonts w:hint="cs"/>
          <w:sz w:val="26"/>
          <w:szCs w:val="26"/>
          <w:rtl/>
        </w:rPr>
        <w:t>8</w:t>
      </w:r>
      <w:r>
        <w:rPr>
          <w:rFonts w:hint="cs"/>
          <w:sz w:val="26"/>
          <w:szCs w:val="26"/>
          <w:rtl/>
        </w:rPr>
        <w:t>) תקופה לגביית חוב סופי בהעברת נכסים לצד שלישי;</w:t>
      </w:r>
    </w:p>
    <w:p w14:paraId="0B50C6C6" w14:textId="77777777" w:rsidR="00144CEC" w:rsidRDefault="00144CEC" w:rsidP="00B70AC8">
      <w:pPr>
        <w:spacing w:before="120" w:after="12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(9) ערר לפני ועדה לקבילות פנקסים על פגם </w:t>
      </w:r>
      <w:r w:rsidR="00184C21">
        <w:rPr>
          <w:rFonts w:hint="cs"/>
          <w:sz w:val="26"/>
          <w:szCs w:val="26"/>
          <w:rtl/>
        </w:rPr>
        <w:t>בניהול פנקסי חשבונות;</w:t>
      </w:r>
    </w:p>
    <w:p w14:paraId="34E64218" w14:textId="77777777" w:rsidR="00532AA6" w:rsidRDefault="00532AA6" w:rsidP="00B70AC8">
      <w:pPr>
        <w:spacing w:before="120" w:after="120"/>
        <w:rPr>
          <w:sz w:val="26"/>
          <w:szCs w:val="26"/>
          <w:rtl/>
        </w:rPr>
      </w:pPr>
    </w:p>
    <w:p w14:paraId="008253FC" w14:textId="77777777" w:rsidR="00532AA6" w:rsidRDefault="00532AA6" w:rsidP="00E656A8">
      <w:pPr>
        <w:spacing w:before="120" w:after="12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מכס:</w:t>
      </w:r>
    </w:p>
    <w:p w14:paraId="22DCA60B" w14:textId="77777777" w:rsidR="00532AA6" w:rsidRPr="00E656A8" w:rsidRDefault="00EF4354" w:rsidP="00E656A8">
      <w:pPr>
        <w:pStyle w:val="af"/>
        <w:numPr>
          <w:ilvl w:val="0"/>
          <w:numId w:val="21"/>
        </w:numPr>
        <w:spacing w:before="120" w:after="120" w:line="360" w:lineRule="auto"/>
        <w:rPr>
          <w:sz w:val="26"/>
          <w:szCs w:val="26"/>
        </w:rPr>
      </w:pPr>
      <w:r w:rsidRPr="00E656A8">
        <w:rPr>
          <w:rFonts w:hint="cs"/>
          <w:sz w:val="26"/>
          <w:szCs w:val="26"/>
          <w:rtl/>
        </w:rPr>
        <w:t>תקופת הודעה על תביעה להשבת תפוס;</w:t>
      </w:r>
    </w:p>
    <w:p w14:paraId="05DAB005" w14:textId="77777777" w:rsidR="009C0908" w:rsidRDefault="009C0908" w:rsidP="00E656A8">
      <w:pPr>
        <w:pStyle w:val="af"/>
        <w:numPr>
          <w:ilvl w:val="0"/>
          <w:numId w:val="21"/>
        </w:numPr>
        <w:spacing w:before="120" w:after="120" w:line="360" w:lineRule="auto"/>
        <w:rPr>
          <w:sz w:val="26"/>
          <w:szCs w:val="26"/>
        </w:rPr>
      </w:pPr>
      <w:r w:rsidRPr="00E656A8">
        <w:rPr>
          <w:rFonts w:hint="cs"/>
          <w:sz w:val="26"/>
          <w:szCs w:val="26"/>
          <w:rtl/>
        </w:rPr>
        <w:t>תקופה לדרישת תשלום</w:t>
      </w:r>
      <w:r w:rsidR="00B42A2F">
        <w:rPr>
          <w:rFonts w:hint="cs"/>
          <w:sz w:val="26"/>
          <w:szCs w:val="26"/>
          <w:rtl/>
        </w:rPr>
        <w:t xml:space="preserve"> ששולם</w:t>
      </w:r>
      <w:r w:rsidRPr="00E656A8">
        <w:rPr>
          <w:rFonts w:hint="cs"/>
          <w:sz w:val="26"/>
          <w:szCs w:val="26"/>
          <w:rtl/>
        </w:rPr>
        <w:t xml:space="preserve"> בחסר או להגשת בקשה להשבת סכום ששולם ביתר;</w:t>
      </w:r>
    </w:p>
    <w:p w14:paraId="319F5B63" w14:textId="77777777" w:rsidR="007540BC" w:rsidRPr="00E656A8" w:rsidRDefault="007540BC" w:rsidP="00E656A8">
      <w:pPr>
        <w:pStyle w:val="af"/>
        <w:numPr>
          <w:ilvl w:val="0"/>
          <w:numId w:val="21"/>
        </w:numPr>
        <w:spacing w:before="120" w:after="120" w:line="360" w:lineRule="auto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תקופת להגשת ערר לגבי טובין;</w:t>
      </w:r>
    </w:p>
    <w:p w14:paraId="4981C390" w14:textId="77777777" w:rsidR="0093259A" w:rsidRDefault="0093259A" w:rsidP="00E656A8">
      <w:pPr>
        <w:spacing w:before="120" w:after="120"/>
        <w:rPr>
          <w:sz w:val="26"/>
          <w:szCs w:val="26"/>
          <w:rtl/>
        </w:rPr>
      </w:pPr>
    </w:p>
    <w:p w14:paraId="12383E4C" w14:textId="77777777" w:rsidR="00532AA6" w:rsidRDefault="00532AA6" w:rsidP="003D1571">
      <w:pPr>
        <w:spacing w:before="120" w:after="12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מיסוי מקרקעין:</w:t>
      </w:r>
    </w:p>
    <w:p w14:paraId="12BAB6A4" w14:textId="77777777" w:rsidR="0093259A" w:rsidRPr="003D1571" w:rsidRDefault="0093259A" w:rsidP="003D1571">
      <w:pPr>
        <w:pStyle w:val="af"/>
        <w:numPr>
          <w:ilvl w:val="0"/>
          <w:numId w:val="25"/>
        </w:numPr>
        <w:spacing w:line="360" w:lineRule="auto"/>
        <w:rPr>
          <w:sz w:val="26"/>
          <w:szCs w:val="26"/>
        </w:rPr>
      </w:pPr>
      <w:r w:rsidRPr="003D1571">
        <w:rPr>
          <w:rFonts w:hint="cs"/>
          <w:sz w:val="26"/>
          <w:szCs w:val="26"/>
          <w:rtl/>
        </w:rPr>
        <w:t>תקופה להגשת בקשה להפחתת שיעורי מקדמה מס שבח;</w:t>
      </w:r>
    </w:p>
    <w:p w14:paraId="1FFD5A91" w14:textId="77777777" w:rsidR="0093259A" w:rsidRPr="00323B6A" w:rsidRDefault="0093259A" w:rsidP="003D1571">
      <w:pPr>
        <w:numPr>
          <w:ilvl w:val="0"/>
          <w:numId w:val="25"/>
        </w:numPr>
        <w:rPr>
          <w:sz w:val="26"/>
          <w:szCs w:val="26"/>
        </w:rPr>
      </w:pPr>
      <w:r w:rsidRPr="00323B6A">
        <w:rPr>
          <w:rFonts w:hint="cs"/>
          <w:sz w:val="26"/>
          <w:szCs w:val="26"/>
          <w:rtl/>
        </w:rPr>
        <w:t>תקופה למתן תשובה בבקשה להפחתת שיעורי מקדמה מס שבח</w:t>
      </w:r>
      <w:r w:rsidR="00603B60">
        <w:rPr>
          <w:rFonts w:hint="cs"/>
          <w:sz w:val="26"/>
          <w:szCs w:val="26"/>
          <w:rtl/>
        </w:rPr>
        <w:t>;</w:t>
      </w:r>
      <w:r>
        <w:rPr>
          <w:sz w:val="26"/>
          <w:szCs w:val="26"/>
          <w:rtl/>
        </w:rPr>
        <w:tab/>
      </w:r>
    </w:p>
    <w:p w14:paraId="55882DDD" w14:textId="77777777" w:rsidR="0093259A" w:rsidRPr="00323B6A" w:rsidRDefault="0093259A" w:rsidP="003D1571">
      <w:pPr>
        <w:numPr>
          <w:ilvl w:val="0"/>
          <w:numId w:val="25"/>
        </w:numPr>
        <w:rPr>
          <w:sz w:val="26"/>
          <w:szCs w:val="26"/>
        </w:rPr>
      </w:pPr>
      <w:r w:rsidRPr="00323B6A">
        <w:rPr>
          <w:rFonts w:hint="cs"/>
          <w:sz w:val="26"/>
          <w:szCs w:val="26"/>
          <w:rtl/>
        </w:rPr>
        <w:t>תקופה להגשת השגה על החלטת המנהל על בקשה להפחתת שיעורי מקדמה מס שבח והתקופה להחלטת המנהל בהשגה זו</w:t>
      </w:r>
      <w:r>
        <w:rPr>
          <w:rFonts w:hint="cs"/>
          <w:sz w:val="26"/>
          <w:szCs w:val="26"/>
          <w:rtl/>
        </w:rPr>
        <w:t>;</w:t>
      </w:r>
    </w:p>
    <w:p w14:paraId="6454522C" w14:textId="77777777" w:rsidR="0093259A" w:rsidRPr="00323B6A" w:rsidRDefault="0093259A" w:rsidP="003D1571">
      <w:pPr>
        <w:numPr>
          <w:ilvl w:val="0"/>
          <w:numId w:val="25"/>
        </w:numPr>
        <w:rPr>
          <w:sz w:val="26"/>
          <w:szCs w:val="26"/>
        </w:rPr>
      </w:pPr>
      <w:r w:rsidRPr="00323B6A">
        <w:rPr>
          <w:rFonts w:hint="cs"/>
          <w:sz w:val="26"/>
          <w:szCs w:val="26"/>
          <w:rtl/>
        </w:rPr>
        <w:t>תקופה למתן הודעה למנהל על מכירת אופציה</w:t>
      </w:r>
      <w:r>
        <w:rPr>
          <w:rFonts w:hint="cs"/>
          <w:sz w:val="26"/>
          <w:szCs w:val="26"/>
          <w:rtl/>
        </w:rPr>
        <w:t>;</w:t>
      </w:r>
    </w:p>
    <w:p w14:paraId="11E1487D" w14:textId="77777777" w:rsidR="0093259A" w:rsidRPr="00323B6A" w:rsidRDefault="0093259A" w:rsidP="003D1571">
      <w:pPr>
        <w:numPr>
          <w:ilvl w:val="0"/>
          <w:numId w:val="25"/>
        </w:numPr>
        <w:rPr>
          <w:sz w:val="26"/>
          <w:szCs w:val="26"/>
        </w:rPr>
      </w:pPr>
      <w:r w:rsidRPr="00323B6A">
        <w:rPr>
          <w:rFonts w:hint="cs"/>
          <w:sz w:val="26"/>
          <w:szCs w:val="26"/>
          <w:rtl/>
        </w:rPr>
        <w:t>תקופה למתן הודעה למנהל על הסכם למכירת זכויות במתחם פינוי-בינוי ומכירת זכות לפי תמ"א 38</w:t>
      </w:r>
      <w:r>
        <w:rPr>
          <w:rFonts w:hint="cs"/>
          <w:sz w:val="26"/>
          <w:szCs w:val="26"/>
          <w:rtl/>
        </w:rPr>
        <w:t>;</w:t>
      </w:r>
    </w:p>
    <w:p w14:paraId="0AA6A979" w14:textId="77777777" w:rsidR="0093259A" w:rsidRPr="002B307E" w:rsidRDefault="0093259A" w:rsidP="003D1571">
      <w:pPr>
        <w:numPr>
          <w:ilvl w:val="0"/>
          <w:numId w:val="25"/>
        </w:numPr>
        <w:rPr>
          <w:sz w:val="26"/>
          <w:szCs w:val="26"/>
        </w:rPr>
      </w:pPr>
      <w:r w:rsidRPr="002B307E">
        <w:rPr>
          <w:rFonts w:hint="cs"/>
          <w:sz w:val="26"/>
          <w:szCs w:val="26"/>
          <w:rtl/>
        </w:rPr>
        <w:t>תקופה למתן הודעה למנהל על עסקה המו</w:t>
      </w:r>
      <w:r w:rsidR="00995FD4" w:rsidRPr="002B307E">
        <w:rPr>
          <w:rFonts w:hint="cs"/>
          <w:sz w:val="26"/>
          <w:szCs w:val="26"/>
          <w:rtl/>
        </w:rPr>
        <w:t>ת</w:t>
      </w:r>
      <w:r w:rsidRPr="002B307E">
        <w:rPr>
          <w:rFonts w:hint="cs"/>
          <w:sz w:val="26"/>
          <w:szCs w:val="26"/>
          <w:rtl/>
        </w:rPr>
        <w:t>נית בתנאי עתידי</w:t>
      </w:r>
      <w:r w:rsidR="00603B60" w:rsidRPr="002B307E">
        <w:rPr>
          <w:rFonts w:hint="cs"/>
          <w:sz w:val="26"/>
          <w:szCs w:val="26"/>
          <w:rtl/>
        </w:rPr>
        <w:t>;</w:t>
      </w:r>
    </w:p>
    <w:p w14:paraId="36C03411" w14:textId="77777777" w:rsidR="0093259A" w:rsidRPr="002B307E" w:rsidRDefault="0093259A" w:rsidP="003D1571">
      <w:pPr>
        <w:numPr>
          <w:ilvl w:val="0"/>
          <w:numId w:val="25"/>
        </w:numPr>
        <w:rPr>
          <w:sz w:val="26"/>
          <w:szCs w:val="26"/>
        </w:rPr>
      </w:pPr>
      <w:r w:rsidRPr="002B307E">
        <w:rPr>
          <w:rFonts w:hint="cs"/>
          <w:sz w:val="26"/>
          <w:szCs w:val="26"/>
          <w:rtl/>
        </w:rPr>
        <w:t xml:space="preserve">תקופה למתן הודעה </w:t>
      </w:r>
      <w:r w:rsidRPr="002B307E">
        <w:rPr>
          <w:sz w:val="26"/>
          <w:szCs w:val="26"/>
          <w:rtl/>
        </w:rPr>
        <w:t xml:space="preserve">בדבר סכום המס שמוסר ההצהרה </w:t>
      </w:r>
      <w:r w:rsidRPr="002B307E">
        <w:rPr>
          <w:rFonts w:hint="cs"/>
          <w:sz w:val="26"/>
          <w:szCs w:val="26"/>
          <w:rtl/>
        </w:rPr>
        <w:t xml:space="preserve">על מכירת זכות במקרקעין </w:t>
      </w:r>
      <w:r w:rsidRPr="002B307E">
        <w:rPr>
          <w:sz w:val="26"/>
          <w:szCs w:val="26"/>
          <w:rtl/>
        </w:rPr>
        <w:t xml:space="preserve">חייב </w:t>
      </w:r>
      <w:r w:rsidRPr="002B307E">
        <w:rPr>
          <w:rFonts w:hint="cs"/>
          <w:sz w:val="26"/>
          <w:szCs w:val="26"/>
          <w:rtl/>
        </w:rPr>
        <w:t xml:space="preserve">בו, לפי </w:t>
      </w:r>
      <w:r w:rsidRPr="002B307E">
        <w:rPr>
          <w:rFonts w:hint="cs"/>
          <w:sz w:val="26"/>
          <w:szCs w:val="26"/>
          <w:rtl/>
        </w:rPr>
        <w:lastRenderedPageBreak/>
        <w:t>הצהרתו</w:t>
      </w:r>
      <w:r w:rsidR="00603B60" w:rsidRPr="002B307E">
        <w:rPr>
          <w:rFonts w:hint="cs"/>
          <w:sz w:val="26"/>
          <w:szCs w:val="26"/>
          <w:rtl/>
        </w:rPr>
        <w:t>;</w:t>
      </w:r>
    </w:p>
    <w:p w14:paraId="069A30FE" w14:textId="77777777" w:rsidR="007C63ED" w:rsidRDefault="0093259A" w:rsidP="003D1571">
      <w:pPr>
        <w:numPr>
          <w:ilvl w:val="0"/>
          <w:numId w:val="25"/>
        </w:numPr>
        <w:rPr>
          <w:sz w:val="26"/>
          <w:szCs w:val="26"/>
        </w:rPr>
      </w:pPr>
      <w:r w:rsidRPr="002B307E">
        <w:rPr>
          <w:rFonts w:hint="cs"/>
          <w:sz w:val="26"/>
          <w:szCs w:val="26"/>
          <w:rtl/>
        </w:rPr>
        <w:t>תקופה לקביעת שומה במכירת זכות במקרקעין</w:t>
      </w:r>
      <w:r w:rsidR="007C63ED">
        <w:rPr>
          <w:rFonts w:hint="cs"/>
          <w:sz w:val="26"/>
          <w:szCs w:val="26"/>
          <w:rtl/>
        </w:rPr>
        <w:t>;</w:t>
      </w:r>
    </w:p>
    <w:p w14:paraId="64563851" w14:textId="77777777" w:rsidR="0093259A" w:rsidRPr="002B307E" w:rsidRDefault="0093259A" w:rsidP="003D1571">
      <w:pPr>
        <w:numPr>
          <w:ilvl w:val="0"/>
          <w:numId w:val="25"/>
        </w:numPr>
        <w:tabs>
          <w:tab w:val="left" w:pos="849"/>
        </w:tabs>
        <w:rPr>
          <w:sz w:val="26"/>
          <w:szCs w:val="26"/>
        </w:rPr>
      </w:pPr>
      <w:r w:rsidRPr="002B307E">
        <w:rPr>
          <w:rFonts w:hint="cs"/>
          <w:sz w:val="26"/>
          <w:szCs w:val="26"/>
          <w:rtl/>
        </w:rPr>
        <w:t>תקופה לתיקון שומה</w:t>
      </w:r>
      <w:r w:rsidR="002B307E" w:rsidRPr="002B307E">
        <w:rPr>
          <w:rFonts w:hint="cs"/>
          <w:sz w:val="26"/>
          <w:szCs w:val="26"/>
          <w:rtl/>
        </w:rPr>
        <w:t>, ולתיקון שומה</w:t>
      </w:r>
      <w:r w:rsidRPr="002B307E">
        <w:rPr>
          <w:rFonts w:hint="cs"/>
          <w:sz w:val="26"/>
          <w:szCs w:val="26"/>
          <w:rtl/>
        </w:rPr>
        <w:t xml:space="preserve"> בשינויי מבנה</w:t>
      </w:r>
      <w:r w:rsidR="00603B60" w:rsidRPr="002B307E">
        <w:rPr>
          <w:rFonts w:hint="cs"/>
          <w:sz w:val="26"/>
          <w:szCs w:val="26"/>
          <w:rtl/>
        </w:rPr>
        <w:t>;</w:t>
      </w:r>
    </w:p>
    <w:p w14:paraId="5ABB7688" w14:textId="77777777" w:rsidR="0093259A" w:rsidRDefault="00B377FF" w:rsidP="003D1571">
      <w:pPr>
        <w:numPr>
          <w:ilvl w:val="0"/>
          <w:numId w:val="25"/>
        </w:numPr>
        <w:tabs>
          <w:tab w:val="left" w:pos="849"/>
        </w:tabs>
        <w:rPr>
          <w:sz w:val="26"/>
          <w:szCs w:val="26"/>
        </w:rPr>
      </w:pPr>
      <w:r w:rsidRPr="002B307E">
        <w:rPr>
          <w:rFonts w:hint="cs"/>
          <w:sz w:val="26"/>
          <w:szCs w:val="26"/>
          <w:rtl/>
        </w:rPr>
        <w:t xml:space="preserve"> </w:t>
      </w:r>
      <w:r w:rsidR="0093259A" w:rsidRPr="002B307E">
        <w:rPr>
          <w:rFonts w:hint="cs"/>
          <w:sz w:val="26"/>
          <w:szCs w:val="26"/>
          <w:rtl/>
        </w:rPr>
        <w:t>תקופה להגשת השגה על שומה</w:t>
      </w:r>
      <w:r w:rsidR="00466B8B" w:rsidRPr="002B307E">
        <w:rPr>
          <w:rFonts w:hint="cs"/>
          <w:sz w:val="26"/>
          <w:szCs w:val="26"/>
          <w:rtl/>
        </w:rPr>
        <w:t xml:space="preserve"> ומתן החלטה</w:t>
      </w:r>
      <w:r w:rsidR="00603B60" w:rsidRPr="002B307E">
        <w:rPr>
          <w:rFonts w:hint="cs"/>
          <w:sz w:val="26"/>
          <w:szCs w:val="26"/>
          <w:rtl/>
        </w:rPr>
        <w:t>;</w:t>
      </w:r>
    </w:p>
    <w:p w14:paraId="64BF29F4" w14:textId="77777777" w:rsidR="007C63ED" w:rsidRPr="00323B6A" w:rsidRDefault="007C63ED" w:rsidP="007C63ED">
      <w:pPr>
        <w:numPr>
          <w:ilvl w:val="0"/>
          <w:numId w:val="25"/>
        </w:numPr>
        <w:tabs>
          <w:tab w:val="left" w:pos="849"/>
        </w:tabs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 </w:t>
      </w:r>
      <w:r w:rsidRPr="00323B6A">
        <w:rPr>
          <w:rFonts w:hint="cs"/>
          <w:sz w:val="26"/>
          <w:szCs w:val="26"/>
          <w:rtl/>
        </w:rPr>
        <w:t>תקופה להגשת ערר לוועדת ערר</w:t>
      </w:r>
      <w:r>
        <w:rPr>
          <w:rFonts w:hint="cs"/>
          <w:sz w:val="26"/>
          <w:szCs w:val="26"/>
          <w:rtl/>
        </w:rPr>
        <w:t>;</w:t>
      </w:r>
    </w:p>
    <w:p w14:paraId="14B95AB9" w14:textId="77777777" w:rsidR="007C63ED" w:rsidRPr="002B307E" w:rsidRDefault="007C63ED" w:rsidP="007C63ED">
      <w:pPr>
        <w:tabs>
          <w:tab w:val="left" w:pos="849"/>
        </w:tabs>
        <w:ind w:left="360"/>
        <w:rPr>
          <w:sz w:val="26"/>
          <w:szCs w:val="26"/>
        </w:rPr>
      </w:pPr>
    </w:p>
    <w:p w14:paraId="25DA1FF5" w14:textId="77777777" w:rsidR="001E1034" w:rsidRDefault="001E1034" w:rsidP="00B70AC8">
      <w:pPr>
        <w:spacing w:before="120" w:after="120"/>
        <w:rPr>
          <w:sz w:val="26"/>
          <w:szCs w:val="26"/>
          <w:rtl/>
        </w:rPr>
      </w:pPr>
    </w:p>
    <w:p w14:paraId="3C08CF0C" w14:textId="77777777" w:rsidR="001E1034" w:rsidRDefault="001E1034" w:rsidP="00B70AC8">
      <w:pPr>
        <w:spacing w:before="120" w:after="12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תקנות מיסוי מקרקעין:</w:t>
      </w:r>
    </w:p>
    <w:p w14:paraId="38FBDF6B" w14:textId="77777777" w:rsidR="003D1571" w:rsidRPr="00466B8B" w:rsidRDefault="007D725E" w:rsidP="00466B8B">
      <w:pPr>
        <w:spacing w:before="120" w:after="120"/>
        <w:rPr>
          <w:sz w:val="26"/>
          <w:szCs w:val="26"/>
          <w:rtl/>
        </w:rPr>
      </w:pPr>
      <w:r w:rsidRPr="00466B8B">
        <w:rPr>
          <w:rFonts w:hint="cs"/>
          <w:sz w:val="26"/>
          <w:szCs w:val="26"/>
          <w:rtl/>
        </w:rPr>
        <w:t xml:space="preserve">תקופה לחישוב זכאות להחזר מס רכישה </w:t>
      </w:r>
      <w:r w:rsidR="006D7A0D" w:rsidRPr="00466B8B">
        <w:rPr>
          <w:rFonts w:hint="cs"/>
          <w:sz w:val="26"/>
          <w:szCs w:val="26"/>
          <w:rtl/>
        </w:rPr>
        <w:t>ב</w:t>
      </w:r>
      <w:r w:rsidR="00466B8B" w:rsidRPr="00466B8B">
        <w:rPr>
          <w:rFonts w:hint="cs"/>
          <w:sz w:val="26"/>
          <w:szCs w:val="26"/>
          <w:rtl/>
        </w:rPr>
        <w:t>רכישת</w:t>
      </w:r>
      <w:r w:rsidR="006D7A0D" w:rsidRPr="00466B8B">
        <w:rPr>
          <w:rFonts w:hint="cs"/>
          <w:sz w:val="26"/>
          <w:szCs w:val="26"/>
          <w:rtl/>
        </w:rPr>
        <w:t xml:space="preserve"> מקרקעין שקיימת לגביהם תכנית, </w:t>
      </w:r>
      <w:r w:rsidRPr="00466B8B">
        <w:rPr>
          <w:rFonts w:hint="cs"/>
          <w:sz w:val="26"/>
          <w:szCs w:val="26"/>
          <w:rtl/>
        </w:rPr>
        <w:t>אם ניתן היתר בניה</w:t>
      </w:r>
      <w:r w:rsidR="006D7A0D" w:rsidRPr="00466B8B">
        <w:rPr>
          <w:rFonts w:hint="cs"/>
          <w:sz w:val="26"/>
          <w:szCs w:val="26"/>
          <w:rtl/>
        </w:rPr>
        <w:t xml:space="preserve"> למגורים</w:t>
      </w:r>
      <w:r w:rsidRPr="00466B8B">
        <w:rPr>
          <w:rFonts w:hint="cs"/>
          <w:sz w:val="26"/>
          <w:szCs w:val="26"/>
          <w:rtl/>
        </w:rPr>
        <w:t>;</w:t>
      </w:r>
      <w:r w:rsidR="003D1571" w:rsidRPr="00466B8B">
        <w:rPr>
          <w:rFonts w:hint="cs"/>
          <w:sz w:val="26"/>
          <w:szCs w:val="26"/>
          <w:rtl/>
        </w:rPr>
        <w:t xml:space="preserve"> </w:t>
      </w:r>
    </w:p>
    <w:p w14:paraId="31B6E077" w14:textId="77777777" w:rsidR="00B70AC8" w:rsidRDefault="00B70AC8" w:rsidP="00B70AC8">
      <w:pPr>
        <w:spacing w:before="120" w:after="120"/>
        <w:rPr>
          <w:sz w:val="26"/>
          <w:szCs w:val="26"/>
          <w:rtl/>
        </w:rPr>
      </w:pPr>
    </w:p>
    <w:p w14:paraId="4FCE11D7" w14:textId="77777777" w:rsidR="00570EB9" w:rsidRDefault="00570EB9" w:rsidP="0093259A">
      <w:pPr>
        <w:spacing w:before="120" w:after="12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חוק</w:t>
      </w:r>
      <w:r w:rsidR="005476F7">
        <w:rPr>
          <w:rFonts w:hint="cs"/>
          <w:sz w:val="26"/>
          <w:szCs w:val="26"/>
          <w:rtl/>
        </w:rPr>
        <w:t xml:space="preserve">י </w:t>
      </w:r>
      <w:r>
        <w:rPr>
          <w:rFonts w:hint="cs"/>
          <w:sz w:val="26"/>
          <w:szCs w:val="26"/>
          <w:rtl/>
        </w:rPr>
        <w:t>עידוד השקעות</w:t>
      </w:r>
      <w:r w:rsidR="005476F7">
        <w:rPr>
          <w:rFonts w:hint="cs"/>
          <w:sz w:val="26"/>
          <w:szCs w:val="26"/>
          <w:rtl/>
        </w:rPr>
        <w:t xml:space="preserve"> הון</w:t>
      </w:r>
      <w:r>
        <w:rPr>
          <w:rFonts w:hint="cs"/>
          <w:sz w:val="26"/>
          <w:szCs w:val="26"/>
          <w:rtl/>
        </w:rPr>
        <w:t>:</w:t>
      </w:r>
    </w:p>
    <w:p w14:paraId="2F8F526D" w14:textId="77777777" w:rsidR="0093259A" w:rsidRPr="003D1571" w:rsidRDefault="0093259A" w:rsidP="003D1571">
      <w:pPr>
        <w:pStyle w:val="af"/>
        <w:numPr>
          <w:ilvl w:val="0"/>
          <w:numId w:val="24"/>
        </w:numPr>
        <w:spacing w:line="360" w:lineRule="auto"/>
        <w:rPr>
          <w:sz w:val="26"/>
          <w:szCs w:val="26"/>
        </w:rPr>
      </w:pPr>
      <w:r w:rsidRPr="003D1571">
        <w:rPr>
          <w:rFonts w:hint="cs"/>
          <w:sz w:val="26"/>
          <w:szCs w:val="26"/>
          <w:rtl/>
        </w:rPr>
        <w:t>תקופה למתן הודעה על שנת בחירה לחברה מוטבת;</w:t>
      </w:r>
    </w:p>
    <w:p w14:paraId="2859F9F7" w14:textId="77777777" w:rsidR="0093259A" w:rsidRPr="00323B6A" w:rsidRDefault="0093259A" w:rsidP="003D1571">
      <w:pPr>
        <w:numPr>
          <w:ilvl w:val="0"/>
          <w:numId w:val="24"/>
        </w:numPr>
        <w:rPr>
          <w:sz w:val="26"/>
          <w:szCs w:val="26"/>
        </w:rPr>
      </w:pPr>
      <w:r w:rsidRPr="00323B6A">
        <w:rPr>
          <w:rFonts w:hint="cs"/>
          <w:sz w:val="26"/>
          <w:szCs w:val="26"/>
          <w:rtl/>
        </w:rPr>
        <w:t>תקופה להגשת בקשה ל</w:t>
      </w:r>
      <w:r w:rsidRPr="00323B6A">
        <w:rPr>
          <w:sz w:val="26"/>
          <w:szCs w:val="26"/>
          <w:rtl/>
        </w:rPr>
        <w:t xml:space="preserve">אישור מראש לזכאות להטבות </w:t>
      </w:r>
      <w:r w:rsidRPr="00323B6A">
        <w:rPr>
          <w:rFonts w:hint="cs"/>
          <w:sz w:val="26"/>
          <w:szCs w:val="26"/>
          <w:rtl/>
        </w:rPr>
        <w:t>ולהחלטת המנהל בבקשה זו</w:t>
      </w:r>
      <w:r>
        <w:rPr>
          <w:rFonts w:hint="cs"/>
          <w:sz w:val="26"/>
          <w:szCs w:val="26"/>
          <w:rtl/>
        </w:rPr>
        <w:t>;</w:t>
      </w:r>
    </w:p>
    <w:p w14:paraId="1ED72E75" w14:textId="77777777" w:rsidR="0093259A" w:rsidRDefault="0093259A" w:rsidP="003D1571">
      <w:pPr>
        <w:pStyle w:val="af"/>
        <w:numPr>
          <w:ilvl w:val="0"/>
          <w:numId w:val="24"/>
        </w:numPr>
        <w:spacing w:before="120" w:after="120" w:line="360" w:lineRule="auto"/>
        <w:rPr>
          <w:sz w:val="26"/>
          <w:szCs w:val="26"/>
        </w:rPr>
      </w:pPr>
      <w:r w:rsidRPr="0093259A">
        <w:rPr>
          <w:rFonts w:hint="cs"/>
          <w:sz w:val="26"/>
          <w:szCs w:val="26"/>
          <w:rtl/>
        </w:rPr>
        <w:t>תקופה למתן הודעה לפקיד השומה על הגשת דוח מאוחד לחברות אם ובת להן מפעלים תעשייתיים שהם בני קו ייצור אחד;</w:t>
      </w:r>
    </w:p>
    <w:p w14:paraId="401DFB0C" w14:textId="77777777" w:rsidR="004324A6" w:rsidRPr="0093259A" w:rsidRDefault="004324A6" w:rsidP="003D1571">
      <w:pPr>
        <w:pStyle w:val="af"/>
        <w:numPr>
          <w:ilvl w:val="0"/>
          <w:numId w:val="24"/>
        </w:numPr>
        <w:spacing w:before="120" w:after="120" w:line="360" w:lineRule="auto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תקופה למתן אישור ותקופה למתן הודעה בעניין רכישת אמצעי שליטה בחברה מזכה</w:t>
      </w:r>
      <w:r w:rsidR="004A14BC">
        <w:rPr>
          <w:rFonts w:hint="cs"/>
          <w:sz w:val="26"/>
          <w:szCs w:val="26"/>
          <w:rtl/>
        </w:rPr>
        <w:t>;</w:t>
      </w:r>
    </w:p>
    <w:p w14:paraId="5934CC35" w14:textId="77777777" w:rsidR="00570EB9" w:rsidRDefault="00570EB9" w:rsidP="00905EC4">
      <w:pPr>
        <w:spacing w:before="120" w:after="120"/>
        <w:rPr>
          <w:sz w:val="26"/>
          <w:szCs w:val="26"/>
          <w:rtl/>
        </w:rPr>
      </w:pPr>
    </w:p>
    <w:p w14:paraId="598AE6B8" w14:textId="77777777" w:rsidR="005476F7" w:rsidRPr="00323B6A" w:rsidRDefault="005476F7" w:rsidP="00B377FF">
      <w:pPr>
        <w:rPr>
          <w:sz w:val="26"/>
          <w:szCs w:val="26"/>
          <w:rtl/>
        </w:rPr>
      </w:pPr>
      <w:r w:rsidRPr="00323B6A">
        <w:rPr>
          <w:rFonts w:hint="cs"/>
          <w:sz w:val="26"/>
          <w:szCs w:val="26"/>
          <w:rtl/>
        </w:rPr>
        <w:t>מס קניה:</w:t>
      </w:r>
    </w:p>
    <w:p w14:paraId="40C1F60A" w14:textId="77777777" w:rsidR="005476F7" w:rsidRPr="003D1571" w:rsidRDefault="005476F7" w:rsidP="003D1571">
      <w:pPr>
        <w:pStyle w:val="af"/>
        <w:numPr>
          <w:ilvl w:val="0"/>
          <w:numId w:val="26"/>
        </w:numPr>
        <w:spacing w:line="480" w:lineRule="auto"/>
        <w:rPr>
          <w:sz w:val="26"/>
          <w:szCs w:val="26"/>
        </w:rPr>
      </w:pPr>
      <w:r w:rsidRPr="003D1571">
        <w:rPr>
          <w:rFonts w:hint="cs"/>
          <w:sz w:val="26"/>
          <w:szCs w:val="26"/>
          <w:rtl/>
        </w:rPr>
        <w:t>תקופה להוצאת שומה;</w:t>
      </w:r>
    </w:p>
    <w:p w14:paraId="6C08A543" w14:textId="77777777" w:rsidR="005476F7" w:rsidRDefault="005476F7" w:rsidP="003D1571">
      <w:pPr>
        <w:numPr>
          <w:ilvl w:val="0"/>
          <w:numId w:val="26"/>
        </w:numPr>
        <w:spacing w:line="480" w:lineRule="auto"/>
        <w:rPr>
          <w:sz w:val="26"/>
          <w:szCs w:val="26"/>
        </w:rPr>
      </w:pPr>
      <w:r w:rsidRPr="00323B6A">
        <w:rPr>
          <w:rFonts w:hint="cs"/>
          <w:sz w:val="26"/>
          <w:szCs w:val="26"/>
          <w:rtl/>
        </w:rPr>
        <w:t>תקופה לתיקון שומה</w:t>
      </w:r>
      <w:r>
        <w:rPr>
          <w:rFonts w:hint="cs"/>
          <w:sz w:val="26"/>
          <w:szCs w:val="26"/>
          <w:rtl/>
        </w:rPr>
        <w:t>.</w:t>
      </w:r>
    </w:p>
    <w:p w14:paraId="22B8EE0F" w14:textId="77777777" w:rsidR="0028571E" w:rsidRDefault="0028571E" w:rsidP="00B377FF">
      <w:pPr>
        <w:rPr>
          <w:sz w:val="26"/>
          <w:szCs w:val="26"/>
          <w:rtl/>
        </w:rPr>
      </w:pPr>
    </w:p>
    <w:p w14:paraId="2B916C86" w14:textId="77777777" w:rsidR="0028571E" w:rsidRDefault="0028571E" w:rsidP="00B377FF">
      <w:pPr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בלו:</w:t>
      </w:r>
    </w:p>
    <w:p w14:paraId="04FD1791" w14:textId="77777777" w:rsidR="0028571E" w:rsidRPr="003D1571" w:rsidRDefault="0028571E" w:rsidP="003D1571">
      <w:pPr>
        <w:pStyle w:val="af"/>
        <w:numPr>
          <w:ilvl w:val="0"/>
          <w:numId w:val="28"/>
        </w:numPr>
        <w:spacing w:line="360" w:lineRule="auto"/>
        <w:rPr>
          <w:sz w:val="26"/>
          <w:szCs w:val="26"/>
        </w:rPr>
      </w:pPr>
      <w:r w:rsidRPr="003D1571">
        <w:rPr>
          <w:rFonts w:hint="cs"/>
          <w:sz w:val="26"/>
          <w:szCs w:val="26"/>
          <w:rtl/>
        </w:rPr>
        <w:t>תקופה ל</w:t>
      </w:r>
      <w:r w:rsidR="00931623" w:rsidRPr="003D1571">
        <w:rPr>
          <w:rFonts w:hint="cs"/>
          <w:sz w:val="26"/>
          <w:szCs w:val="26"/>
          <w:rtl/>
        </w:rPr>
        <w:t xml:space="preserve">הגשת </w:t>
      </w:r>
      <w:r w:rsidRPr="003D1571">
        <w:rPr>
          <w:rFonts w:hint="cs"/>
          <w:sz w:val="26"/>
          <w:szCs w:val="26"/>
          <w:rtl/>
        </w:rPr>
        <w:t>בקשה ל</w:t>
      </w:r>
      <w:r w:rsidR="00931623" w:rsidRPr="003D1571">
        <w:rPr>
          <w:rFonts w:hint="cs"/>
          <w:sz w:val="26"/>
          <w:szCs w:val="26"/>
          <w:rtl/>
        </w:rPr>
        <w:t>מתן</w:t>
      </w:r>
      <w:r w:rsidRPr="003D1571">
        <w:rPr>
          <w:rFonts w:hint="cs"/>
          <w:sz w:val="26"/>
          <w:szCs w:val="26"/>
          <w:rtl/>
        </w:rPr>
        <w:t xml:space="preserve"> הישבון</w:t>
      </w:r>
      <w:r w:rsidR="00931623" w:rsidRPr="003D1571">
        <w:rPr>
          <w:rFonts w:hint="cs"/>
          <w:sz w:val="26"/>
          <w:szCs w:val="26"/>
          <w:rtl/>
        </w:rPr>
        <w:t>;</w:t>
      </w:r>
    </w:p>
    <w:p w14:paraId="7C7DC2B4" w14:textId="77777777" w:rsidR="0028571E" w:rsidRDefault="00931623" w:rsidP="003D1571">
      <w:pPr>
        <w:pStyle w:val="af"/>
        <w:numPr>
          <w:ilvl w:val="0"/>
          <w:numId w:val="28"/>
        </w:numPr>
        <w:spacing w:line="360" w:lineRule="auto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תקופה להגשת בקשה להחזר בלו על דלק ;</w:t>
      </w:r>
    </w:p>
    <w:p w14:paraId="7FA379F5" w14:textId="77777777" w:rsidR="0028571E" w:rsidRDefault="00931623" w:rsidP="00B377FF">
      <w:pPr>
        <w:pStyle w:val="af"/>
        <w:numPr>
          <w:ilvl w:val="0"/>
          <w:numId w:val="28"/>
        </w:numPr>
        <w:spacing w:line="360" w:lineRule="auto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ה</w:t>
      </w:r>
      <w:r w:rsidR="0028571E" w:rsidRPr="0028571E">
        <w:rPr>
          <w:rFonts w:hint="cs"/>
          <w:sz w:val="26"/>
          <w:szCs w:val="26"/>
          <w:rtl/>
        </w:rPr>
        <w:t>תקופה לפקיעת החלטת המנהל לביטול או התליית רישיון יצרן בהעדר הגשת תובענה פלילית</w:t>
      </w:r>
      <w:r w:rsidR="0028571E">
        <w:rPr>
          <w:rFonts w:hint="cs"/>
          <w:sz w:val="26"/>
          <w:szCs w:val="26"/>
          <w:rtl/>
        </w:rPr>
        <w:t>;</w:t>
      </w:r>
    </w:p>
    <w:p w14:paraId="3D8AB4E6" w14:textId="77777777" w:rsidR="005476F7" w:rsidRDefault="005476F7" w:rsidP="00905EC4">
      <w:pPr>
        <w:spacing w:before="120" w:after="120"/>
        <w:rPr>
          <w:sz w:val="26"/>
          <w:szCs w:val="26"/>
          <w:rtl/>
        </w:rPr>
      </w:pPr>
    </w:p>
    <w:p w14:paraId="0D4AB001" w14:textId="77777777" w:rsidR="00603B60" w:rsidRPr="00323B6A" w:rsidRDefault="00603B60" w:rsidP="00DC1C1D">
      <w:pPr>
        <w:rPr>
          <w:sz w:val="26"/>
          <w:szCs w:val="26"/>
          <w:rtl/>
        </w:rPr>
      </w:pPr>
      <w:r w:rsidRPr="00323B6A">
        <w:rPr>
          <w:rFonts w:hint="cs"/>
          <w:sz w:val="26"/>
          <w:szCs w:val="26"/>
          <w:rtl/>
        </w:rPr>
        <w:t>מס רכוש וקרן פיצויים:</w:t>
      </w:r>
    </w:p>
    <w:p w14:paraId="054EBEAE" w14:textId="77777777" w:rsidR="00603B60" w:rsidRPr="003D1571" w:rsidRDefault="00603B60" w:rsidP="003D1571">
      <w:pPr>
        <w:pStyle w:val="af"/>
        <w:numPr>
          <w:ilvl w:val="0"/>
          <w:numId w:val="30"/>
        </w:numPr>
        <w:spacing w:line="360" w:lineRule="auto"/>
        <w:rPr>
          <w:sz w:val="26"/>
          <w:szCs w:val="26"/>
        </w:rPr>
      </w:pPr>
      <w:r w:rsidRPr="003D1571">
        <w:rPr>
          <w:rFonts w:hint="cs"/>
          <w:sz w:val="26"/>
          <w:szCs w:val="26"/>
          <w:rtl/>
        </w:rPr>
        <w:t>התקופה להגשת תביעה לפיצויים</w:t>
      </w:r>
      <w:r w:rsidR="00DC1C1D" w:rsidRPr="003D1571">
        <w:rPr>
          <w:rFonts w:hint="cs"/>
          <w:sz w:val="26"/>
          <w:szCs w:val="26"/>
          <w:rtl/>
        </w:rPr>
        <w:t>;</w:t>
      </w:r>
    </w:p>
    <w:p w14:paraId="38F5C20C" w14:textId="77777777" w:rsidR="00603B60" w:rsidRPr="00323B6A" w:rsidRDefault="00603B60" w:rsidP="003D1571">
      <w:pPr>
        <w:numPr>
          <w:ilvl w:val="0"/>
          <w:numId w:val="30"/>
        </w:numPr>
        <w:rPr>
          <w:sz w:val="26"/>
          <w:szCs w:val="26"/>
        </w:rPr>
      </w:pPr>
      <w:r w:rsidRPr="00323B6A">
        <w:rPr>
          <w:rFonts w:hint="cs"/>
          <w:sz w:val="26"/>
          <w:szCs w:val="26"/>
          <w:rtl/>
        </w:rPr>
        <w:t>התקופה לתיקון החלטת המנהל בהחלטה על פיצויים</w:t>
      </w:r>
      <w:r w:rsidR="00DC1C1D">
        <w:rPr>
          <w:rFonts w:hint="cs"/>
          <w:sz w:val="26"/>
          <w:szCs w:val="26"/>
          <w:rtl/>
        </w:rPr>
        <w:t>;</w:t>
      </w:r>
      <w:r w:rsidR="00DC1C1D">
        <w:rPr>
          <w:sz w:val="26"/>
          <w:szCs w:val="26"/>
          <w:rtl/>
        </w:rPr>
        <w:tab/>
      </w:r>
    </w:p>
    <w:p w14:paraId="47221FF9" w14:textId="77777777" w:rsidR="00603B60" w:rsidRPr="00323B6A" w:rsidRDefault="00603B60" w:rsidP="003D1571">
      <w:pPr>
        <w:numPr>
          <w:ilvl w:val="0"/>
          <w:numId w:val="30"/>
        </w:numPr>
        <w:rPr>
          <w:sz w:val="26"/>
          <w:szCs w:val="26"/>
        </w:rPr>
      </w:pPr>
      <w:r w:rsidRPr="00323B6A">
        <w:rPr>
          <w:rFonts w:hint="cs"/>
          <w:sz w:val="26"/>
          <w:szCs w:val="26"/>
          <w:rtl/>
        </w:rPr>
        <w:t>התקופה להגשת ערר</w:t>
      </w:r>
      <w:r w:rsidR="00DC1C1D">
        <w:rPr>
          <w:rFonts w:hint="cs"/>
          <w:sz w:val="26"/>
          <w:szCs w:val="26"/>
          <w:rtl/>
        </w:rPr>
        <w:t>.</w:t>
      </w:r>
    </w:p>
    <w:p w14:paraId="03317697" w14:textId="77777777" w:rsidR="00603B60" w:rsidRDefault="00603B60" w:rsidP="00905EC4">
      <w:pPr>
        <w:spacing w:before="120" w:after="120"/>
        <w:rPr>
          <w:sz w:val="26"/>
          <w:szCs w:val="26"/>
          <w:rtl/>
        </w:rPr>
      </w:pPr>
    </w:p>
    <w:p w14:paraId="1B9F3E3F" w14:textId="77777777" w:rsidR="004F698E" w:rsidRDefault="00BA03BB" w:rsidP="003D0612">
      <w:pPr>
        <w:spacing w:before="120" w:after="12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מיסוי רווחים ממשאבי טבע:</w:t>
      </w:r>
    </w:p>
    <w:p w14:paraId="4723C3FD" w14:textId="77777777" w:rsidR="00BA03BB" w:rsidRPr="009112FC" w:rsidRDefault="004A3849" w:rsidP="003D0612">
      <w:pPr>
        <w:pStyle w:val="af"/>
        <w:numPr>
          <w:ilvl w:val="0"/>
          <w:numId w:val="23"/>
        </w:numPr>
        <w:spacing w:before="120" w:after="120" w:line="360" w:lineRule="auto"/>
        <w:rPr>
          <w:sz w:val="26"/>
          <w:szCs w:val="26"/>
        </w:rPr>
      </w:pPr>
      <w:r w:rsidRPr="009112FC">
        <w:rPr>
          <w:rFonts w:hint="cs"/>
          <w:sz w:val="26"/>
          <w:szCs w:val="26"/>
          <w:rtl/>
        </w:rPr>
        <w:lastRenderedPageBreak/>
        <w:t>תקופות להו</w:t>
      </w:r>
      <w:r w:rsidR="00905EC4" w:rsidRPr="009112FC">
        <w:rPr>
          <w:rFonts w:hint="cs"/>
          <w:sz w:val="26"/>
          <w:szCs w:val="26"/>
          <w:rtl/>
        </w:rPr>
        <w:t>צאת שומה;</w:t>
      </w:r>
    </w:p>
    <w:p w14:paraId="4222AE3B" w14:textId="77777777" w:rsidR="00905EC4" w:rsidRDefault="00905EC4" w:rsidP="003D0612">
      <w:pPr>
        <w:pStyle w:val="af"/>
        <w:numPr>
          <w:ilvl w:val="0"/>
          <w:numId w:val="23"/>
        </w:numPr>
        <w:spacing w:before="120" w:after="120" w:line="360" w:lineRule="auto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תקופות להגשת השגה.</w:t>
      </w:r>
    </w:p>
    <w:p w14:paraId="4782E7CC" w14:textId="77777777" w:rsidR="00905EC4" w:rsidRDefault="00905EC4" w:rsidP="003D0612">
      <w:pPr>
        <w:spacing w:before="120" w:after="120"/>
        <w:rPr>
          <w:sz w:val="26"/>
          <w:szCs w:val="26"/>
          <w:rtl/>
        </w:rPr>
      </w:pPr>
    </w:p>
    <w:p w14:paraId="04035933" w14:textId="77777777" w:rsidR="001F7369" w:rsidRPr="001538BA" w:rsidRDefault="001F7369" w:rsidP="003D0612">
      <w:pPr>
        <w:spacing w:before="120" w:after="120"/>
        <w:rPr>
          <w:sz w:val="26"/>
          <w:szCs w:val="26"/>
          <w:rtl/>
        </w:rPr>
      </w:pPr>
      <w:r w:rsidRPr="001538BA">
        <w:rPr>
          <w:rFonts w:hint="cs"/>
          <w:sz w:val="26"/>
          <w:szCs w:val="26"/>
          <w:rtl/>
        </w:rPr>
        <w:t>מענקי קורונה:</w:t>
      </w:r>
    </w:p>
    <w:p w14:paraId="0F81B613" w14:textId="77777777" w:rsidR="001F7369" w:rsidRPr="001538BA" w:rsidRDefault="00D91219" w:rsidP="003D0612">
      <w:pPr>
        <w:pStyle w:val="af"/>
        <w:numPr>
          <w:ilvl w:val="0"/>
          <w:numId w:val="34"/>
        </w:numPr>
        <w:spacing w:before="120" w:after="120" w:line="360" w:lineRule="auto"/>
        <w:rPr>
          <w:sz w:val="26"/>
          <w:szCs w:val="26"/>
          <w:rtl/>
        </w:rPr>
      </w:pPr>
      <w:r w:rsidRPr="001538BA">
        <w:rPr>
          <w:rFonts w:hint="cs"/>
          <w:sz w:val="26"/>
          <w:szCs w:val="26"/>
          <w:rtl/>
        </w:rPr>
        <w:t xml:space="preserve">תקופת קביעת זכאות </w:t>
      </w:r>
      <w:r w:rsidR="0056375F" w:rsidRPr="001538BA">
        <w:rPr>
          <w:rFonts w:hint="cs"/>
          <w:sz w:val="26"/>
          <w:szCs w:val="26"/>
          <w:rtl/>
        </w:rPr>
        <w:t>;</w:t>
      </w:r>
    </w:p>
    <w:p w14:paraId="7E32A162" w14:textId="77777777" w:rsidR="00D91219" w:rsidRPr="001538BA" w:rsidRDefault="00D91219" w:rsidP="003D0612">
      <w:pPr>
        <w:pStyle w:val="af"/>
        <w:numPr>
          <w:ilvl w:val="0"/>
          <w:numId w:val="34"/>
        </w:numPr>
        <w:spacing w:before="120" w:after="120" w:line="360" w:lineRule="auto"/>
        <w:rPr>
          <w:sz w:val="26"/>
          <w:szCs w:val="26"/>
          <w:rtl/>
        </w:rPr>
      </w:pPr>
      <w:r w:rsidRPr="001538BA">
        <w:rPr>
          <w:rFonts w:hint="cs"/>
          <w:sz w:val="26"/>
          <w:szCs w:val="26"/>
          <w:rtl/>
        </w:rPr>
        <w:t>תקופת השגה.</w:t>
      </w:r>
    </w:p>
    <w:p w14:paraId="77662C6D" w14:textId="77777777" w:rsidR="001F7369" w:rsidRDefault="001F7369" w:rsidP="00905EC4">
      <w:pPr>
        <w:spacing w:before="120" w:after="120"/>
        <w:rPr>
          <w:sz w:val="26"/>
          <w:szCs w:val="26"/>
          <w:rtl/>
        </w:rPr>
      </w:pPr>
    </w:p>
    <w:p w14:paraId="25C34D4E" w14:textId="77777777" w:rsidR="004F698E" w:rsidRDefault="004F698E" w:rsidP="00B70AC8">
      <w:pPr>
        <w:spacing w:before="120" w:after="120"/>
        <w:rPr>
          <w:sz w:val="26"/>
          <w:szCs w:val="26"/>
          <w:rtl/>
        </w:rPr>
      </w:pPr>
    </w:p>
    <w:p w14:paraId="50797EFA" w14:textId="77777777" w:rsidR="004F698E" w:rsidRDefault="00AE6DE2" w:rsidP="00B70AC8">
      <w:pPr>
        <w:spacing w:before="120" w:after="12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לסעיף 3:</w:t>
      </w:r>
    </w:p>
    <w:p w14:paraId="60092E43" w14:textId="77777777" w:rsidR="001A6685" w:rsidRDefault="007A52F6" w:rsidP="00A842BB">
      <w:pPr>
        <w:spacing w:before="120" w:after="120"/>
        <w:rPr>
          <w:sz w:val="26"/>
          <w:szCs w:val="26"/>
          <w:rtl/>
        </w:rPr>
      </w:pPr>
      <w:bookmarkStart w:id="39" w:name="_Hlk149570657"/>
      <w:r>
        <w:rPr>
          <w:rFonts w:hint="cs"/>
          <w:sz w:val="26"/>
          <w:szCs w:val="26"/>
          <w:rtl/>
        </w:rPr>
        <w:t>ב</w:t>
      </w:r>
      <w:r w:rsidR="001E6ACF">
        <w:rPr>
          <w:rFonts w:hint="cs"/>
          <w:sz w:val="26"/>
          <w:szCs w:val="26"/>
          <w:rtl/>
        </w:rPr>
        <w:t>הוראות חוק מיסוי מקרקעין המ</w:t>
      </w:r>
      <w:r w:rsidR="001A6685">
        <w:rPr>
          <w:rFonts w:hint="cs"/>
          <w:sz w:val="26"/>
          <w:szCs w:val="26"/>
          <w:rtl/>
        </w:rPr>
        <w:t>פורטות בסעיף</w:t>
      </w:r>
      <w:r w:rsidR="00B334FB">
        <w:rPr>
          <w:rFonts w:hint="cs"/>
          <w:sz w:val="26"/>
          <w:szCs w:val="26"/>
          <w:rtl/>
        </w:rPr>
        <w:t xml:space="preserve"> (להלן- הוראות החוק)</w:t>
      </w:r>
      <w:r w:rsidR="001A6685">
        <w:rPr>
          <w:rFonts w:hint="cs"/>
          <w:sz w:val="26"/>
          <w:szCs w:val="26"/>
          <w:rtl/>
        </w:rPr>
        <w:t xml:space="preserve"> באשר למניין הימים במכירת דירת מגורים מזכה,</w:t>
      </w:r>
      <w:r w:rsidR="0094732A">
        <w:rPr>
          <w:rFonts w:hint="cs"/>
          <w:sz w:val="26"/>
          <w:szCs w:val="26"/>
          <w:rtl/>
        </w:rPr>
        <w:t xml:space="preserve"> מאחר שתהליכים הנוגעים למכירת דירה מצריכים היערכות ,</w:t>
      </w:r>
      <w:r w:rsidR="001A6685">
        <w:rPr>
          <w:rFonts w:hint="cs"/>
          <w:sz w:val="26"/>
          <w:szCs w:val="26"/>
          <w:rtl/>
        </w:rPr>
        <w:t xml:space="preserve"> מוצע לאפשר הארכה של שלושה חדשים </w:t>
      </w:r>
      <w:r w:rsidR="001A6685" w:rsidRPr="00990BA4">
        <w:rPr>
          <w:rFonts w:hint="cs"/>
          <w:sz w:val="26"/>
          <w:szCs w:val="26"/>
          <w:rtl/>
        </w:rPr>
        <w:t>מתום</w:t>
      </w:r>
      <w:r w:rsidR="001A6685">
        <w:rPr>
          <w:rFonts w:hint="cs"/>
          <w:sz w:val="26"/>
          <w:szCs w:val="26"/>
          <w:rtl/>
        </w:rPr>
        <w:t xml:space="preserve"> התקופה הקובעת,</w:t>
      </w:r>
      <w:r w:rsidR="00B334FB">
        <w:rPr>
          <w:rFonts w:hint="cs"/>
          <w:sz w:val="26"/>
          <w:szCs w:val="26"/>
          <w:rtl/>
        </w:rPr>
        <w:t xml:space="preserve"> או שלושה חודשים מהיום בו </w:t>
      </w:r>
      <w:r w:rsidR="0094732A">
        <w:rPr>
          <w:rFonts w:hint="cs"/>
          <w:sz w:val="26"/>
          <w:szCs w:val="26"/>
          <w:rtl/>
        </w:rPr>
        <w:t>היתה אמורה להסתיים התקופה לפי הוראות החוק, לפי המאוחר מביניהן. זאת,</w:t>
      </w:r>
      <w:r w:rsidR="001A6685">
        <w:rPr>
          <w:rFonts w:hint="cs"/>
          <w:sz w:val="26"/>
          <w:szCs w:val="26"/>
          <w:rtl/>
        </w:rPr>
        <w:t xml:space="preserve"> </w:t>
      </w:r>
      <w:r w:rsidR="00FA307B">
        <w:rPr>
          <w:rFonts w:hint="cs"/>
          <w:sz w:val="26"/>
          <w:szCs w:val="26"/>
          <w:rtl/>
        </w:rPr>
        <w:t>אם חלק מהתקופה הקבועה לנישום לפי הוראות החוק הוא בתוך התקופה הקובעת, וגם אם מועד סיומה לא חל בתקופה הקובעת</w:t>
      </w:r>
      <w:r w:rsidR="001A6685">
        <w:rPr>
          <w:rFonts w:hint="cs"/>
          <w:sz w:val="26"/>
          <w:szCs w:val="26"/>
          <w:rtl/>
        </w:rPr>
        <w:t>.</w:t>
      </w:r>
      <w:r w:rsidR="00FA307B">
        <w:rPr>
          <w:rFonts w:hint="cs"/>
          <w:sz w:val="26"/>
          <w:szCs w:val="26"/>
          <w:rtl/>
        </w:rPr>
        <w:t xml:space="preserve"> במקרה זה, כל מי שחלק מהתקופה העומדת לרשותו היה בתקופה הקובעת, יעמדו לרשותו שלושה חודשים נוספים לביצוע המכירה.</w:t>
      </w:r>
    </w:p>
    <w:p w14:paraId="5B409A54" w14:textId="77777777" w:rsidR="001A6685" w:rsidRDefault="001A6685" w:rsidP="00A842BB">
      <w:pPr>
        <w:spacing w:before="120" w:after="12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כך </w:t>
      </w:r>
      <w:r w:rsidR="0094732A">
        <w:rPr>
          <w:rFonts w:hint="cs"/>
          <w:sz w:val="26"/>
          <w:szCs w:val="26"/>
          <w:rtl/>
        </w:rPr>
        <w:t>למשל</w:t>
      </w:r>
      <w:r>
        <w:rPr>
          <w:rFonts w:hint="cs"/>
          <w:sz w:val="26"/>
          <w:szCs w:val="26"/>
          <w:rtl/>
        </w:rPr>
        <w:t>, מי שעבורו</w:t>
      </w:r>
      <w:r w:rsidR="00FA307B">
        <w:rPr>
          <w:rFonts w:hint="cs"/>
          <w:sz w:val="26"/>
          <w:szCs w:val="26"/>
          <w:rtl/>
        </w:rPr>
        <w:t xml:space="preserve"> הת</w:t>
      </w:r>
      <w:r>
        <w:rPr>
          <w:rFonts w:hint="cs"/>
          <w:sz w:val="26"/>
          <w:szCs w:val="26"/>
          <w:rtl/>
        </w:rPr>
        <w:t>קופה לפי הוראת החוק היתה אמורה להסתיים ביום</w:t>
      </w:r>
      <w:r w:rsidR="003A1DC4">
        <w:rPr>
          <w:rFonts w:hint="cs"/>
          <w:sz w:val="26"/>
          <w:szCs w:val="26"/>
          <w:rtl/>
        </w:rPr>
        <w:t xml:space="preserve"> כ"ג בתשרי התשפ"ד (8 באוקטובר 2023),</w:t>
      </w:r>
      <w:r w:rsidR="00CD74EF">
        <w:rPr>
          <w:rFonts w:hint="cs"/>
          <w:sz w:val="26"/>
          <w:szCs w:val="26"/>
          <w:rtl/>
        </w:rPr>
        <w:t xml:space="preserve"> כך שיום אחד מתוכה חל בתקופה הקובעת,</w:t>
      </w:r>
      <w:r>
        <w:rPr>
          <w:rFonts w:hint="cs"/>
          <w:sz w:val="26"/>
          <w:szCs w:val="26"/>
          <w:rtl/>
        </w:rPr>
        <w:t xml:space="preserve"> יעמדו לרשותו שלושה חודשים נוספים מיום</w:t>
      </w:r>
      <w:r w:rsidR="00091B14">
        <w:rPr>
          <w:rFonts w:hint="cs"/>
          <w:sz w:val="26"/>
          <w:szCs w:val="26"/>
          <w:rtl/>
        </w:rPr>
        <w:t xml:space="preserve"> כ"ו טבת התשפ"ד (7 בינואר 2024)</w:t>
      </w:r>
      <w:r>
        <w:rPr>
          <w:rFonts w:hint="cs"/>
          <w:sz w:val="26"/>
          <w:szCs w:val="26"/>
          <w:rtl/>
        </w:rPr>
        <w:t>, עד יום</w:t>
      </w:r>
      <w:r w:rsidR="000D5552">
        <w:rPr>
          <w:rFonts w:hint="cs"/>
          <w:sz w:val="26"/>
          <w:szCs w:val="26"/>
          <w:rtl/>
        </w:rPr>
        <w:t xml:space="preserve"> כ"ח אדר ב' התשפ"ד (7 באפריל 2024).</w:t>
      </w:r>
    </w:p>
    <w:p w14:paraId="586D681F" w14:textId="77777777" w:rsidR="001A6685" w:rsidRDefault="001A6685" w:rsidP="00A842BB">
      <w:pPr>
        <w:spacing w:before="120" w:after="12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מי שעבורו התקופה לפי הוראות החוק היתה </w:t>
      </w:r>
      <w:r w:rsidRPr="0094732A">
        <w:rPr>
          <w:rFonts w:hint="cs"/>
          <w:sz w:val="26"/>
          <w:szCs w:val="26"/>
          <w:rtl/>
        </w:rPr>
        <w:t>אמורה להסתיים</w:t>
      </w:r>
      <w:r w:rsidR="0094732A" w:rsidRPr="0094732A">
        <w:rPr>
          <w:rFonts w:hint="cs"/>
          <w:sz w:val="26"/>
          <w:szCs w:val="26"/>
          <w:rtl/>
        </w:rPr>
        <w:t xml:space="preserve"> ביום</w:t>
      </w:r>
      <w:r w:rsidR="00D1110C">
        <w:rPr>
          <w:rFonts w:hint="cs"/>
          <w:sz w:val="26"/>
          <w:szCs w:val="26"/>
          <w:rtl/>
        </w:rPr>
        <w:t xml:space="preserve"> כ"א אדר א' התשפ"ד (1 במרס 2024)</w:t>
      </w:r>
      <w:r w:rsidR="0094732A" w:rsidRPr="0094732A">
        <w:rPr>
          <w:rFonts w:hint="cs"/>
          <w:sz w:val="26"/>
          <w:szCs w:val="26"/>
          <w:rtl/>
        </w:rPr>
        <w:t xml:space="preserve">, </w:t>
      </w:r>
      <w:r w:rsidR="00CD74EF">
        <w:rPr>
          <w:rFonts w:hint="cs"/>
          <w:sz w:val="26"/>
          <w:szCs w:val="26"/>
          <w:rtl/>
        </w:rPr>
        <w:t xml:space="preserve">כך שהתקופה הקובעת במלואה חלה בתוכה, </w:t>
      </w:r>
      <w:r w:rsidR="0094732A" w:rsidRPr="0094732A">
        <w:rPr>
          <w:rFonts w:hint="cs"/>
          <w:sz w:val="26"/>
          <w:szCs w:val="26"/>
          <w:rtl/>
        </w:rPr>
        <w:t>יעמדו לרשותו שלושה חודשים נוספים מיום זה, קרי עד יום</w:t>
      </w:r>
      <w:r w:rsidR="00D1110C">
        <w:rPr>
          <w:rFonts w:hint="cs"/>
          <w:sz w:val="26"/>
          <w:szCs w:val="26"/>
          <w:rtl/>
        </w:rPr>
        <w:t xml:space="preserve"> כ"ד אייר התשפ"ד (1 ביוני 2024).</w:t>
      </w:r>
    </w:p>
    <w:p w14:paraId="784064C5" w14:textId="77777777" w:rsidR="0094732A" w:rsidRDefault="00C06564" w:rsidP="00A842BB">
      <w:pPr>
        <w:spacing w:before="120" w:after="12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ו</w:t>
      </w:r>
      <w:r w:rsidR="0094732A">
        <w:rPr>
          <w:rFonts w:hint="cs"/>
          <w:sz w:val="26"/>
          <w:szCs w:val="26"/>
          <w:rtl/>
        </w:rPr>
        <w:t>אלו הן הוראות החוק:</w:t>
      </w:r>
    </w:p>
    <w:p w14:paraId="5966CEE7" w14:textId="77777777" w:rsidR="00AE6DE2" w:rsidRPr="00EC5851" w:rsidRDefault="00EC5851" w:rsidP="00A842BB">
      <w:pPr>
        <w:pStyle w:val="af"/>
        <w:numPr>
          <w:ilvl w:val="0"/>
          <w:numId w:val="32"/>
        </w:numPr>
        <w:spacing w:before="120" w:after="120" w:line="360" w:lineRule="auto"/>
        <w:rPr>
          <w:sz w:val="26"/>
          <w:szCs w:val="26"/>
          <w:rtl/>
        </w:rPr>
      </w:pPr>
      <w:bookmarkStart w:id="40" w:name="_Hlk149570689"/>
      <w:bookmarkEnd w:id="39"/>
      <w:r w:rsidRPr="00EC5851">
        <w:rPr>
          <w:rFonts w:hint="cs"/>
          <w:sz w:val="26"/>
          <w:szCs w:val="26"/>
          <w:rtl/>
        </w:rPr>
        <w:t>ה</w:t>
      </w:r>
      <w:r w:rsidR="008E2B1D" w:rsidRPr="00EC5851">
        <w:rPr>
          <w:rFonts w:hint="cs"/>
          <w:sz w:val="26"/>
          <w:szCs w:val="26"/>
          <w:rtl/>
        </w:rPr>
        <w:t>וראות</w:t>
      </w:r>
      <w:r w:rsidR="00AE6DE2" w:rsidRPr="00EC5851">
        <w:rPr>
          <w:rFonts w:hint="cs"/>
          <w:sz w:val="26"/>
          <w:szCs w:val="26"/>
          <w:rtl/>
        </w:rPr>
        <w:t xml:space="preserve"> </w:t>
      </w:r>
      <w:r w:rsidR="008E2B1D" w:rsidRPr="00EC5851">
        <w:rPr>
          <w:rFonts w:hint="cs"/>
          <w:sz w:val="26"/>
          <w:szCs w:val="26"/>
          <w:rtl/>
        </w:rPr>
        <w:t>בעניין ה</w:t>
      </w:r>
      <w:r w:rsidR="00AE6DE2" w:rsidRPr="00EC5851">
        <w:rPr>
          <w:rFonts w:hint="cs"/>
          <w:sz w:val="26"/>
          <w:szCs w:val="26"/>
          <w:rtl/>
        </w:rPr>
        <w:t xml:space="preserve">תקופה </w:t>
      </w:r>
      <w:r w:rsidR="00AC71E8">
        <w:rPr>
          <w:rFonts w:hint="cs"/>
          <w:sz w:val="26"/>
          <w:szCs w:val="26"/>
          <w:rtl/>
        </w:rPr>
        <w:t xml:space="preserve">למכירת דירת מגורים הקובעות שיעור מס </w:t>
      </w:r>
      <w:r w:rsidR="008E2B1D" w:rsidRPr="00EC5851">
        <w:rPr>
          <w:rFonts w:hint="cs"/>
          <w:sz w:val="26"/>
          <w:szCs w:val="26"/>
          <w:rtl/>
        </w:rPr>
        <w:t xml:space="preserve"> רכישה </w:t>
      </w:r>
      <w:r w:rsidR="00AC71E8">
        <w:rPr>
          <w:rFonts w:hint="cs"/>
          <w:sz w:val="26"/>
          <w:szCs w:val="26"/>
          <w:rtl/>
        </w:rPr>
        <w:t>לדירה יחידה</w:t>
      </w:r>
      <w:r w:rsidR="00AE6DE2" w:rsidRPr="00EC5851">
        <w:rPr>
          <w:rFonts w:hint="cs"/>
          <w:sz w:val="26"/>
          <w:szCs w:val="26"/>
          <w:rtl/>
        </w:rPr>
        <w:t>;</w:t>
      </w:r>
    </w:p>
    <w:p w14:paraId="581C5F24" w14:textId="77777777" w:rsidR="008E2B1D" w:rsidRDefault="000D0EB7" w:rsidP="00A842BB">
      <w:pPr>
        <w:pStyle w:val="af"/>
        <w:numPr>
          <w:ilvl w:val="0"/>
          <w:numId w:val="32"/>
        </w:numPr>
        <w:spacing w:before="120" w:after="120" w:line="360" w:lineRule="auto"/>
        <w:rPr>
          <w:sz w:val="26"/>
          <w:szCs w:val="26"/>
        </w:rPr>
      </w:pPr>
      <w:r w:rsidRPr="000D0EB7">
        <w:rPr>
          <w:sz w:val="26"/>
          <w:szCs w:val="26"/>
          <w:rtl/>
        </w:rPr>
        <w:t>הוראות בעניין תקופה של החזקת דירת מגורים אשר תחשב כדירת מגורים יחידה לצורך זכאות בפטור ממס שבח במכירת דירת מגורים מזכה.</w:t>
      </w:r>
    </w:p>
    <w:p w14:paraId="537ABF25" w14:textId="77777777" w:rsidR="000D0EB7" w:rsidRPr="00EC5851" w:rsidRDefault="000D0EB7" w:rsidP="00A842BB">
      <w:pPr>
        <w:pStyle w:val="af"/>
        <w:numPr>
          <w:ilvl w:val="0"/>
          <w:numId w:val="32"/>
        </w:numPr>
        <w:spacing w:before="120" w:after="120" w:line="360" w:lineRule="auto"/>
        <w:rPr>
          <w:sz w:val="26"/>
          <w:szCs w:val="26"/>
          <w:rtl/>
        </w:rPr>
      </w:pPr>
      <w:r w:rsidRPr="000D0EB7">
        <w:rPr>
          <w:sz w:val="26"/>
          <w:szCs w:val="26"/>
          <w:rtl/>
        </w:rPr>
        <w:t xml:space="preserve">הוראות לעניין התקופה במכירת </w:t>
      </w:r>
      <w:r>
        <w:rPr>
          <w:rFonts w:hint="cs"/>
          <w:sz w:val="26"/>
          <w:szCs w:val="26"/>
          <w:rtl/>
        </w:rPr>
        <w:t>דירת מגורים מזכה</w:t>
      </w:r>
      <w:r w:rsidRPr="000D0EB7">
        <w:rPr>
          <w:sz w:val="26"/>
          <w:szCs w:val="26"/>
          <w:rtl/>
        </w:rPr>
        <w:t xml:space="preserve"> </w:t>
      </w:r>
      <w:r w:rsidR="001538BA">
        <w:rPr>
          <w:rFonts w:hint="cs"/>
          <w:sz w:val="26"/>
          <w:szCs w:val="26"/>
          <w:rtl/>
        </w:rPr>
        <w:t>הזכאית</w:t>
      </w:r>
      <w:r w:rsidRPr="000D0EB7">
        <w:rPr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>ל</w:t>
      </w:r>
      <w:r w:rsidRPr="000D0EB7">
        <w:rPr>
          <w:sz w:val="26"/>
          <w:szCs w:val="26"/>
          <w:rtl/>
        </w:rPr>
        <w:t>פטור חד פעמי</w:t>
      </w:r>
      <w:r>
        <w:rPr>
          <w:rFonts w:hint="cs"/>
          <w:sz w:val="26"/>
          <w:szCs w:val="26"/>
          <w:rtl/>
        </w:rPr>
        <w:t xml:space="preserve"> </w:t>
      </w:r>
      <w:r w:rsidRPr="000D0EB7">
        <w:rPr>
          <w:sz w:val="26"/>
          <w:szCs w:val="26"/>
          <w:rtl/>
        </w:rPr>
        <w:t>ממס שבח</w:t>
      </w:r>
      <w:r>
        <w:rPr>
          <w:rFonts w:hint="cs"/>
          <w:sz w:val="26"/>
          <w:szCs w:val="26"/>
          <w:rtl/>
        </w:rPr>
        <w:t xml:space="preserve"> .</w:t>
      </w:r>
    </w:p>
    <w:bookmarkEnd w:id="40"/>
    <w:p w14:paraId="2703CAD4" w14:textId="77777777" w:rsidR="006621CA" w:rsidRDefault="006621CA" w:rsidP="00B70AC8">
      <w:pPr>
        <w:spacing w:before="120" w:after="120"/>
        <w:rPr>
          <w:sz w:val="26"/>
          <w:szCs w:val="26"/>
          <w:rtl/>
        </w:rPr>
      </w:pPr>
    </w:p>
    <w:p w14:paraId="5788FF6E" w14:textId="77777777" w:rsidR="00B70AC8" w:rsidRDefault="00B70AC8" w:rsidP="00B70AC8">
      <w:pPr>
        <w:spacing w:before="120" w:after="120"/>
        <w:rPr>
          <w:sz w:val="26"/>
          <w:szCs w:val="26"/>
          <w:rtl/>
        </w:rPr>
      </w:pPr>
    </w:p>
    <w:p w14:paraId="3DBC05B0" w14:textId="77777777" w:rsidR="00B70AC8" w:rsidRPr="00B70AC8" w:rsidRDefault="00B70AC8" w:rsidP="00B70AC8">
      <w:pPr>
        <w:spacing w:before="120" w:after="120"/>
        <w:rPr>
          <w:sz w:val="26"/>
          <w:szCs w:val="26"/>
          <w:rtl/>
        </w:rPr>
      </w:pPr>
    </w:p>
    <w:bookmarkEnd w:id="1"/>
    <w:p w14:paraId="71330BE6" w14:textId="77777777" w:rsidR="001645D9" w:rsidRPr="00B70AC8" w:rsidRDefault="001645D9" w:rsidP="00B70AC8">
      <w:pPr>
        <w:spacing w:before="120" w:after="120"/>
        <w:rPr>
          <w:sz w:val="26"/>
          <w:szCs w:val="26"/>
        </w:rPr>
      </w:pPr>
    </w:p>
    <w:sectPr w:rsidR="001645D9" w:rsidRPr="00B70AC8" w:rsidSect="00DD6C76">
      <w:pgSz w:w="11906" w:h="16838"/>
      <w:pgMar w:top="1701" w:right="1134" w:bottom="1417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05362" w14:textId="77777777" w:rsidR="000F0237" w:rsidRDefault="000F0237" w:rsidP="00F07844">
      <w:pPr>
        <w:spacing w:line="240" w:lineRule="auto"/>
      </w:pPr>
      <w:r>
        <w:separator/>
      </w:r>
    </w:p>
  </w:endnote>
  <w:endnote w:type="continuationSeparator" w:id="0">
    <w:p w14:paraId="379FAB8D" w14:textId="77777777" w:rsidR="000F0237" w:rsidRDefault="000F0237" w:rsidP="00F078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7BDA1" w14:textId="77777777" w:rsidR="000F0237" w:rsidRDefault="000F0237" w:rsidP="00F07844">
      <w:pPr>
        <w:spacing w:line="240" w:lineRule="auto"/>
      </w:pPr>
      <w:r>
        <w:separator/>
      </w:r>
    </w:p>
  </w:footnote>
  <w:footnote w:type="continuationSeparator" w:id="0">
    <w:p w14:paraId="2FE96C82" w14:textId="77777777" w:rsidR="000F0237" w:rsidRDefault="000F0237" w:rsidP="00F07844">
      <w:pPr>
        <w:spacing w:line="240" w:lineRule="auto"/>
      </w:pPr>
      <w:r>
        <w:continuationSeparator/>
      </w:r>
    </w:p>
  </w:footnote>
  <w:footnote w:id="1">
    <w:p w14:paraId="1A809DDE" w14:textId="77777777" w:rsidR="00581FFD" w:rsidRDefault="00581FFD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דיני מדינת ישראל, נוסח חדש 6, עמ' 120</w:t>
      </w:r>
      <w:r w:rsidR="00D4634D">
        <w:rPr>
          <w:rFonts w:hint="cs"/>
          <w:rtl/>
        </w:rPr>
        <w:t>.</w:t>
      </w:r>
    </w:p>
  </w:footnote>
  <w:footnote w:id="2">
    <w:p w14:paraId="5334FF53" w14:textId="77777777" w:rsidR="00581FFD" w:rsidRDefault="00581FFD">
      <w:pPr>
        <w:pStyle w:val="a5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ס"ח התשל"ו, עמ' 52.</w:t>
      </w:r>
    </w:p>
  </w:footnote>
  <w:footnote w:id="3">
    <w:p w14:paraId="3333FD67" w14:textId="77777777" w:rsidR="00581FFD" w:rsidRDefault="00581FFD">
      <w:pPr>
        <w:pStyle w:val="a5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 w:rsidRPr="00F73183">
        <w:rPr>
          <w:rtl/>
        </w:rPr>
        <w:t>ע"ר 1937, תוס' 1, עמ' 183; ס"ח התשכ"ה, עמ' 118</w:t>
      </w:r>
      <w:r w:rsidR="0061017B">
        <w:rPr>
          <w:rFonts w:hint="cs"/>
          <w:rtl/>
        </w:rPr>
        <w:t>.</w:t>
      </w:r>
    </w:p>
  </w:footnote>
  <w:footnote w:id="4">
    <w:p w14:paraId="6C8D219F" w14:textId="77777777" w:rsidR="00581FFD" w:rsidRDefault="00581FFD" w:rsidP="00B47F71">
      <w:pPr>
        <w:pStyle w:val="a5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ס"ח התשכ"ח, עמ' 156</w:t>
      </w:r>
      <w:r w:rsidR="0061017B">
        <w:rPr>
          <w:rFonts w:hint="cs"/>
          <w:rtl/>
        </w:rPr>
        <w:t>.</w:t>
      </w:r>
    </w:p>
  </w:footnote>
  <w:footnote w:id="5">
    <w:p w14:paraId="7D4FBC5B" w14:textId="77777777" w:rsidR="00581FFD" w:rsidRDefault="00581FFD" w:rsidP="00A05321">
      <w:pPr>
        <w:pStyle w:val="a5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ק"ת התשכ"ז, עמ' 97.</w:t>
      </w:r>
    </w:p>
  </w:footnote>
  <w:footnote w:id="6">
    <w:p w14:paraId="76F9E8F7" w14:textId="77777777" w:rsidR="00581FFD" w:rsidRDefault="00581FFD">
      <w:pPr>
        <w:pStyle w:val="a5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ס"ח התשכ"ג, עמ' 156</w:t>
      </w:r>
      <w:r w:rsidR="005A3BC4">
        <w:rPr>
          <w:rFonts w:hint="cs"/>
          <w:rtl/>
        </w:rPr>
        <w:t>.</w:t>
      </w:r>
    </w:p>
  </w:footnote>
  <w:footnote w:id="7">
    <w:p w14:paraId="6C6B39F3" w14:textId="77777777" w:rsidR="00581FFD" w:rsidRDefault="00581FFD">
      <w:pPr>
        <w:pStyle w:val="a5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ק"ת התשל"ה, עמ' 140</w:t>
      </w:r>
      <w:r w:rsidR="005A3BC4">
        <w:rPr>
          <w:rFonts w:hint="cs"/>
          <w:rtl/>
        </w:rPr>
        <w:t>.</w:t>
      </w:r>
    </w:p>
  </w:footnote>
  <w:footnote w:id="8">
    <w:p w14:paraId="689B009B" w14:textId="77777777" w:rsidR="00581FFD" w:rsidRDefault="00581FFD">
      <w:pPr>
        <w:pStyle w:val="a5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ס"ח התשי"ט, עמ' 234</w:t>
      </w:r>
      <w:r w:rsidR="005A3BC4">
        <w:rPr>
          <w:rFonts w:hint="cs"/>
          <w:rtl/>
        </w:rPr>
        <w:t>.</w:t>
      </w:r>
    </w:p>
  </w:footnote>
  <w:footnote w:id="9">
    <w:p w14:paraId="1D7338B7" w14:textId="77777777" w:rsidR="00581FFD" w:rsidRDefault="00581FFD">
      <w:pPr>
        <w:pStyle w:val="a5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ס"ח התשכ"ט, עמ' 232</w:t>
      </w:r>
      <w:r w:rsidR="005A3BC4">
        <w:rPr>
          <w:rFonts w:hint="cs"/>
          <w:rtl/>
        </w:rPr>
        <w:t>.</w:t>
      </w:r>
    </w:p>
  </w:footnote>
  <w:footnote w:id="10">
    <w:p w14:paraId="6853885D" w14:textId="77777777" w:rsidR="00581FFD" w:rsidRDefault="00581FFD">
      <w:pPr>
        <w:pStyle w:val="a5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ס"ח</w:t>
      </w:r>
      <w:r w:rsidR="005A3BC4">
        <w:rPr>
          <w:rFonts w:hint="cs"/>
          <w:rtl/>
        </w:rPr>
        <w:t xml:space="preserve"> התשפ"ג, עמ' 254.</w:t>
      </w:r>
    </w:p>
  </w:footnote>
  <w:footnote w:id="11">
    <w:p w14:paraId="67A3475A" w14:textId="77777777" w:rsidR="00581FFD" w:rsidRDefault="00581FFD">
      <w:pPr>
        <w:pStyle w:val="a5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 w:rsidRPr="00E72A5E">
        <w:rPr>
          <w:rFonts w:hint="cs"/>
          <w:rtl/>
        </w:rPr>
        <w:t>ס"ח התשי"ב, עמ'</w:t>
      </w:r>
      <w:r>
        <w:rPr>
          <w:rFonts w:hint="cs"/>
          <w:rtl/>
        </w:rPr>
        <w:t xml:space="preserve"> 344</w:t>
      </w:r>
      <w:r w:rsidR="00024DB0">
        <w:rPr>
          <w:rFonts w:hint="cs"/>
          <w:rtl/>
        </w:rPr>
        <w:t>.</w:t>
      </w:r>
    </w:p>
  </w:footnote>
  <w:footnote w:id="12">
    <w:p w14:paraId="7DF5334A" w14:textId="77777777" w:rsidR="00581FFD" w:rsidRDefault="00581FFD">
      <w:pPr>
        <w:pStyle w:val="a5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 w:rsidRPr="00E72A5E">
        <w:rPr>
          <w:rFonts w:hint="cs"/>
          <w:rtl/>
        </w:rPr>
        <w:t>ס"ח התשי"ח, עמ' 160</w:t>
      </w:r>
      <w:r w:rsidR="00024DB0">
        <w:rPr>
          <w:rFonts w:hint="cs"/>
          <w:rtl/>
        </w:rPr>
        <w:t>.</w:t>
      </w:r>
    </w:p>
  </w:footnote>
  <w:footnote w:id="13">
    <w:p w14:paraId="42BD97CB" w14:textId="77777777" w:rsidR="00581FFD" w:rsidRDefault="00581FFD">
      <w:pPr>
        <w:pStyle w:val="a5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ס"ח התשכ"א, עמ' 100</w:t>
      </w:r>
      <w:r w:rsidR="00024DB0">
        <w:rPr>
          <w:rFonts w:hint="cs"/>
          <w:rtl/>
        </w:rPr>
        <w:t>.</w:t>
      </w:r>
    </w:p>
  </w:footnote>
  <w:footnote w:id="14">
    <w:p w14:paraId="7E750E99" w14:textId="77777777" w:rsidR="00581FFD" w:rsidRDefault="00581FFD">
      <w:pPr>
        <w:pStyle w:val="a5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ק"ת התשל"ג, עמ' 1682</w:t>
      </w:r>
      <w:r w:rsidR="00024DB0">
        <w:rPr>
          <w:rFonts w:hint="cs"/>
          <w:rtl/>
        </w:rPr>
        <w:t>.</w:t>
      </w:r>
    </w:p>
  </w:footnote>
  <w:footnote w:id="15">
    <w:p w14:paraId="6BBE0B33" w14:textId="77777777" w:rsidR="00581FFD" w:rsidRDefault="00581FFD">
      <w:pPr>
        <w:pStyle w:val="a5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ס"ח התשע"א, עמ' 806</w:t>
      </w:r>
      <w:r w:rsidR="00024DB0">
        <w:rPr>
          <w:rFonts w:hint="cs"/>
          <w:rtl/>
        </w:rPr>
        <w:t>.</w:t>
      </w:r>
    </w:p>
  </w:footnote>
  <w:footnote w:id="16">
    <w:p w14:paraId="74C09B09" w14:textId="77777777" w:rsidR="00581FFD" w:rsidRDefault="00581FFD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ס"ח התש"פ , עמ</w:t>
      </w:r>
      <w:r w:rsidR="002675E4">
        <w:rPr>
          <w:rFonts w:hint="cs"/>
          <w:rtl/>
        </w:rPr>
        <w:t xml:space="preserve">' </w:t>
      </w:r>
      <w:r>
        <w:rPr>
          <w:rFonts w:hint="cs"/>
          <w:rtl/>
        </w:rPr>
        <w:t xml:space="preserve"> 298</w:t>
      </w:r>
      <w:r w:rsidR="00024DB0">
        <w:rPr>
          <w:rFonts w:hint="cs"/>
          <w:rtl/>
        </w:rPr>
        <w:t>.</w:t>
      </w:r>
    </w:p>
  </w:footnote>
  <w:footnote w:id="17">
    <w:p w14:paraId="1C089DAF" w14:textId="77777777" w:rsidR="00581FFD" w:rsidRDefault="00581FFD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ס"ח התשפ"ב עמ' 972</w:t>
      </w:r>
      <w:r w:rsidR="00024DB0">
        <w:rPr>
          <w:rFonts w:hint="cs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49435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A2EB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E00D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D24B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1685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CA2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EA33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8CFF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38A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B85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9654C"/>
    <w:multiLevelType w:val="hybridMultilevel"/>
    <w:tmpl w:val="3140C5F2"/>
    <w:lvl w:ilvl="0" w:tplc="EA0C5DA0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72A86"/>
    <w:multiLevelType w:val="hybridMultilevel"/>
    <w:tmpl w:val="0D5028AE"/>
    <w:lvl w:ilvl="0" w:tplc="FB92B18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1BF9433F"/>
    <w:multiLevelType w:val="hybridMultilevel"/>
    <w:tmpl w:val="C95A036C"/>
    <w:lvl w:ilvl="0" w:tplc="B05E8D62">
      <w:start w:val="1"/>
      <w:numFmt w:val="decimal"/>
      <w:lvlText w:val="(%1)"/>
      <w:lvlJc w:val="left"/>
      <w:pPr>
        <w:ind w:left="720" w:hanging="360"/>
      </w:pPr>
      <w:rPr>
        <w:rFonts w:ascii="David" w:eastAsiaTheme="minorHAnsi" w:hAnsi="David" w:cs="Davi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E0E97"/>
    <w:multiLevelType w:val="hybridMultilevel"/>
    <w:tmpl w:val="36C6D964"/>
    <w:lvl w:ilvl="0" w:tplc="7552709C">
      <w:start w:val="1"/>
      <w:numFmt w:val="decimal"/>
      <w:lvlText w:val="(%1)"/>
      <w:lvlJc w:val="left"/>
      <w:pPr>
        <w:ind w:left="720" w:hanging="360"/>
      </w:pPr>
      <w:rPr>
        <w:rFonts w:ascii="David" w:eastAsiaTheme="minorHAnsi" w:hAnsi="David" w:cs="Davi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B10315"/>
    <w:multiLevelType w:val="hybridMultilevel"/>
    <w:tmpl w:val="B8DE9EFC"/>
    <w:lvl w:ilvl="0" w:tplc="B5C264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40DAE"/>
    <w:multiLevelType w:val="hybridMultilevel"/>
    <w:tmpl w:val="36F25BEE"/>
    <w:lvl w:ilvl="0" w:tplc="27B2490C">
      <w:start w:val="1"/>
      <w:numFmt w:val="decimal"/>
      <w:lvlText w:val="(%1)"/>
      <w:lvlJc w:val="left"/>
      <w:pPr>
        <w:ind w:left="700" w:hanging="360"/>
      </w:pPr>
      <w:rPr>
        <w:rFonts w:ascii="David" w:eastAsiaTheme="minorHAnsi" w:hAnsi="David" w:cs="David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2E647D7B"/>
    <w:multiLevelType w:val="hybridMultilevel"/>
    <w:tmpl w:val="BA24981C"/>
    <w:lvl w:ilvl="0" w:tplc="EBAA92BA">
      <w:start w:val="1"/>
      <w:numFmt w:val="decimal"/>
      <w:lvlText w:val="(%1)"/>
      <w:lvlJc w:val="left"/>
      <w:pPr>
        <w:ind w:left="720" w:hanging="360"/>
      </w:pPr>
      <w:rPr>
        <w:rFonts w:ascii="David" w:eastAsiaTheme="minorHAnsi" w:hAnsi="David" w:cs="Davi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42231"/>
    <w:multiLevelType w:val="hybridMultilevel"/>
    <w:tmpl w:val="71845DA8"/>
    <w:lvl w:ilvl="0" w:tplc="887809DE">
      <w:start w:val="1"/>
      <w:numFmt w:val="decimal"/>
      <w:lvlText w:val="(%1)"/>
      <w:lvlJc w:val="left"/>
      <w:pPr>
        <w:ind w:left="720" w:hanging="360"/>
      </w:pPr>
      <w:rPr>
        <w:rFonts w:ascii="Arial" w:eastAsia="Arial Unicode MS" w:hAnsi="Arial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44F3A"/>
    <w:multiLevelType w:val="hybridMultilevel"/>
    <w:tmpl w:val="59E289A2"/>
    <w:lvl w:ilvl="0" w:tplc="6A42BC24">
      <w:start w:val="1"/>
      <w:numFmt w:val="hebrew1"/>
      <w:lvlText w:val="(%1)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 w15:restartNumberingAfterBreak="0">
    <w:nsid w:val="4AAC672C"/>
    <w:multiLevelType w:val="hybridMultilevel"/>
    <w:tmpl w:val="E59AEA34"/>
    <w:lvl w:ilvl="0" w:tplc="E294D5BA">
      <w:start w:val="1"/>
      <w:numFmt w:val="decimal"/>
      <w:lvlText w:val="(%1)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1" w15:restartNumberingAfterBreak="0">
    <w:nsid w:val="4AF73933"/>
    <w:multiLevelType w:val="hybridMultilevel"/>
    <w:tmpl w:val="F60CE78A"/>
    <w:lvl w:ilvl="0" w:tplc="EE085CC8">
      <w:start w:val="1"/>
      <w:numFmt w:val="hebrew1"/>
      <w:lvlText w:val="(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B22930"/>
    <w:multiLevelType w:val="hybridMultilevel"/>
    <w:tmpl w:val="AC108E42"/>
    <w:lvl w:ilvl="0" w:tplc="F1586420">
      <w:start w:val="1"/>
      <w:numFmt w:val="decimal"/>
      <w:lvlText w:val="(%1)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3" w15:restartNumberingAfterBreak="0">
    <w:nsid w:val="4BB35A29"/>
    <w:multiLevelType w:val="hybridMultilevel"/>
    <w:tmpl w:val="E49CEAAE"/>
    <w:lvl w:ilvl="0" w:tplc="D6704220">
      <w:start w:val="1"/>
      <w:numFmt w:val="decimal"/>
      <w:lvlText w:val="(%1)"/>
      <w:lvlJc w:val="left"/>
      <w:pPr>
        <w:ind w:left="720" w:hanging="360"/>
      </w:pPr>
      <w:rPr>
        <w:rFonts w:ascii="David" w:eastAsiaTheme="minorHAnsi" w:hAnsi="David" w:cs="Davi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5818D2"/>
    <w:multiLevelType w:val="hybridMultilevel"/>
    <w:tmpl w:val="2908A2FE"/>
    <w:lvl w:ilvl="0" w:tplc="9800A17A">
      <w:start w:val="1"/>
      <w:numFmt w:val="decimal"/>
      <w:lvlText w:val="(%1)"/>
      <w:lvlJc w:val="left"/>
      <w:pPr>
        <w:ind w:left="700" w:hanging="360"/>
      </w:pPr>
      <w:rPr>
        <w:rFonts w:ascii="David" w:eastAsiaTheme="minorHAnsi" w:hAnsi="David" w:cs="David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" w15:restartNumberingAfterBreak="0">
    <w:nsid w:val="555A2B35"/>
    <w:multiLevelType w:val="hybridMultilevel"/>
    <w:tmpl w:val="F61ADD04"/>
    <w:lvl w:ilvl="0" w:tplc="EFC26F30">
      <w:start w:val="1"/>
      <w:numFmt w:val="hebrew1"/>
      <w:pStyle w:val="4"/>
      <w:suff w:val="space"/>
      <w:lvlText w:val="%1."/>
      <w:lvlJc w:val="left"/>
      <w:pPr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2E65D8"/>
    <w:multiLevelType w:val="hybridMultilevel"/>
    <w:tmpl w:val="AB30F43E"/>
    <w:lvl w:ilvl="0" w:tplc="BA143692">
      <w:start w:val="1"/>
      <w:numFmt w:val="decimal"/>
      <w:lvlText w:val="(%1)"/>
      <w:lvlJc w:val="left"/>
      <w:pPr>
        <w:ind w:left="700" w:hanging="360"/>
      </w:pPr>
      <w:rPr>
        <w:rFonts w:ascii="David" w:eastAsiaTheme="minorHAnsi" w:hAnsi="David" w:cs="David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 w15:restartNumberingAfterBreak="0">
    <w:nsid w:val="59D474D2"/>
    <w:multiLevelType w:val="hybridMultilevel"/>
    <w:tmpl w:val="ED2AF5A6"/>
    <w:lvl w:ilvl="0" w:tplc="4B0C6026">
      <w:start w:val="1"/>
      <w:numFmt w:val="decimal"/>
      <w:lvlText w:val="(%1)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5B3B28B0"/>
    <w:multiLevelType w:val="hybridMultilevel"/>
    <w:tmpl w:val="41ACEA96"/>
    <w:lvl w:ilvl="0" w:tplc="06A8C010">
      <w:start w:val="1"/>
      <w:numFmt w:val="decimal"/>
      <w:pStyle w:val="TOC3"/>
      <w:lvlText w:val="%1."/>
      <w:lvlJc w:val="left"/>
      <w:pPr>
        <w:ind w:left="1287" w:hanging="360"/>
      </w:pPr>
      <w:rPr>
        <w:rFonts w:cs="David" w:hint="default"/>
        <w:bCs w:val="0"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9CB5727"/>
    <w:multiLevelType w:val="hybridMultilevel"/>
    <w:tmpl w:val="DBB64E72"/>
    <w:lvl w:ilvl="0" w:tplc="2C6CB096">
      <w:start w:val="1"/>
      <w:numFmt w:val="hebrew1"/>
      <w:lvlText w:val="(%1)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0" w15:restartNumberingAfterBreak="0">
    <w:nsid w:val="734A1BC9"/>
    <w:multiLevelType w:val="hybridMultilevel"/>
    <w:tmpl w:val="14402324"/>
    <w:lvl w:ilvl="0" w:tplc="FC585A48">
      <w:start w:val="1"/>
      <w:numFmt w:val="decimal"/>
      <w:lvlText w:val="(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3C544D"/>
    <w:multiLevelType w:val="hybridMultilevel"/>
    <w:tmpl w:val="C7443990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84135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943346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2863123">
    <w:abstractNumId w:val="0"/>
  </w:num>
  <w:num w:numId="4" w16cid:durableId="1600455022">
    <w:abstractNumId w:val="31"/>
  </w:num>
  <w:num w:numId="5" w16cid:durableId="27068461">
    <w:abstractNumId w:val="14"/>
  </w:num>
  <w:num w:numId="6" w16cid:durableId="1274358398">
    <w:abstractNumId w:val="32"/>
  </w:num>
  <w:num w:numId="7" w16cid:durableId="644549743">
    <w:abstractNumId w:val="8"/>
  </w:num>
  <w:num w:numId="8" w16cid:durableId="493617723">
    <w:abstractNumId w:val="3"/>
  </w:num>
  <w:num w:numId="9" w16cid:durableId="1622221613">
    <w:abstractNumId w:val="2"/>
  </w:num>
  <w:num w:numId="10" w16cid:durableId="1289513437">
    <w:abstractNumId w:val="1"/>
  </w:num>
  <w:num w:numId="11" w16cid:durableId="961888470">
    <w:abstractNumId w:val="9"/>
  </w:num>
  <w:num w:numId="12" w16cid:durableId="563176272">
    <w:abstractNumId w:val="7"/>
  </w:num>
  <w:num w:numId="13" w16cid:durableId="1508592643">
    <w:abstractNumId w:val="6"/>
  </w:num>
  <w:num w:numId="14" w16cid:durableId="67921787">
    <w:abstractNumId w:val="5"/>
  </w:num>
  <w:num w:numId="15" w16cid:durableId="1932272986">
    <w:abstractNumId w:val="4"/>
  </w:num>
  <w:num w:numId="16" w16cid:durableId="216935323">
    <w:abstractNumId w:val="25"/>
  </w:num>
  <w:num w:numId="17" w16cid:durableId="41055492">
    <w:abstractNumId w:val="25"/>
    <w:lvlOverride w:ilvl="0">
      <w:startOverride w:val="1"/>
    </w:lvlOverride>
  </w:num>
  <w:num w:numId="18" w16cid:durableId="317735574">
    <w:abstractNumId w:val="11"/>
  </w:num>
  <w:num w:numId="19" w16cid:durableId="1482501246">
    <w:abstractNumId w:val="28"/>
  </w:num>
  <w:num w:numId="20" w16cid:durableId="1507406784">
    <w:abstractNumId w:val="18"/>
  </w:num>
  <w:num w:numId="21" w16cid:durableId="1156259570">
    <w:abstractNumId w:val="26"/>
  </w:num>
  <w:num w:numId="22" w16cid:durableId="1523665104">
    <w:abstractNumId w:val="20"/>
  </w:num>
  <w:num w:numId="23" w16cid:durableId="136799825">
    <w:abstractNumId w:val="16"/>
  </w:num>
  <w:num w:numId="24" w16cid:durableId="452481963">
    <w:abstractNumId w:val="17"/>
  </w:num>
  <w:num w:numId="25" w16cid:durableId="225771630">
    <w:abstractNumId w:val="13"/>
  </w:num>
  <w:num w:numId="26" w16cid:durableId="1679652031">
    <w:abstractNumId w:val="23"/>
  </w:num>
  <w:num w:numId="27" w16cid:durableId="1451819774">
    <w:abstractNumId w:val="15"/>
  </w:num>
  <w:num w:numId="28" w16cid:durableId="1640186935">
    <w:abstractNumId w:val="24"/>
  </w:num>
  <w:num w:numId="29" w16cid:durableId="1050227332">
    <w:abstractNumId w:val="29"/>
  </w:num>
  <w:num w:numId="30" w16cid:durableId="1676609385">
    <w:abstractNumId w:val="12"/>
  </w:num>
  <w:num w:numId="31" w16cid:durableId="1759986606">
    <w:abstractNumId w:val="27"/>
  </w:num>
  <w:num w:numId="32" w16cid:durableId="1734818457">
    <w:abstractNumId w:val="22"/>
  </w:num>
  <w:num w:numId="33" w16cid:durableId="587808511">
    <w:abstractNumId w:val="10"/>
  </w:num>
  <w:num w:numId="34" w16cid:durableId="976035371">
    <w:abstractNumId w:val="19"/>
  </w:num>
  <w:num w:numId="35" w16cid:durableId="1778325635">
    <w:abstractNumId w:val="30"/>
  </w:num>
  <w:num w:numId="36" w16cid:durableId="208394169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76"/>
    <w:rsid w:val="00000C68"/>
    <w:rsid w:val="00001880"/>
    <w:rsid w:val="00024DB0"/>
    <w:rsid w:val="000328BD"/>
    <w:rsid w:val="000372A0"/>
    <w:rsid w:val="00042588"/>
    <w:rsid w:val="00043DD7"/>
    <w:rsid w:val="000526BA"/>
    <w:rsid w:val="00054BEA"/>
    <w:rsid w:val="00065C2B"/>
    <w:rsid w:val="00070109"/>
    <w:rsid w:val="00091B14"/>
    <w:rsid w:val="000955B3"/>
    <w:rsid w:val="000A0359"/>
    <w:rsid w:val="000B49F0"/>
    <w:rsid w:val="000B7709"/>
    <w:rsid w:val="000C0CB1"/>
    <w:rsid w:val="000D0EB7"/>
    <w:rsid w:val="000D1742"/>
    <w:rsid w:val="000D5552"/>
    <w:rsid w:val="000E5387"/>
    <w:rsid w:val="000F0237"/>
    <w:rsid w:val="000F5565"/>
    <w:rsid w:val="00102A32"/>
    <w:rsid w:val="00105DC0"/>
    <w:rsid w:val="001107B7"/>
    <w:rsid w:val="00112356"/>
    <w:rsid w:val="00113A6A"/>
    <w:rsid w:val="00122C2B"/>
    <w:rsid w:val="00122E1C"/>
    <w:rsid w:val="001256A1"/>
    <w:rsid w:val="001337A1"/>
    <w:rsid w:val="00136D99"/>
    <w:rsid w:val="001437B0"/>
    <w:rsid w:val="00144CEC"/>
    <w:rsid w:val="001538BA"/>
    <w:rsid w:val="001645D9"/>
    <w:rsid w:val="0018009E"/>
    <w:rsid w:val="00184C21"/>
    <w:rsid w:val="001A6685"/>
    <w:rsid w:val="001A78C8"/>
    <w:rsid w:val="001B10D8"/>
    <w:rsid w:val="001B38AA"/>
    <w:rsid w:val="001B657D"/>
    <w:rsid w:val="001E1034"/>
    <w:rsid w:val="001E1AE3"/>
    <w:rsid w:val="001E6ACF"/>
    <w:rsid w:val="001F7369"/>
    <w:rsid w:val="002008E4"/>
    <w:rsid w:val="00202DA6"/>
    <w:rsid w:val="002068AF"/>
    <w:rsid w:val="0021575E"/>
    <w:rsid w:val="0022023E"/>
    <w:rsid w:val="0022613C"/>
    <w:rsid w:val="00234F6A"/>
    <w:rsid w:val="002443C6"/>
    <w:rsid w:val="002456BE"/>
    <w:rsid w:val="002476A9"/>
    <w:rsid w:val="00256579"/>
    <w:rsid w:val="00261289"/>
    <w:rsid w:val="0026131B"/>
    <w:rsid w:val="002648AA"/>
    <w:rsid w:val="002675E4"/>
    <w:rsid w:val="002718E0"/>
    <w:rsid w:val="00280175"/>
    <w:rsid w:val="002828D4"/>
    <w:rsid w:val="0028571E"/>
    <w:rsid w:val="00293397"/>
    <w:rsid w:val="00294F23"/>
    <w:rsid w:val="002A7482"/>
    <w:rsid w:val="002B307E"/>
    <w:rsid w:val="002C244F"/>
    <w:rsid w:val="002E15CC"/>
    <w:rsid w:val="002E2445"/>
    <w:rsid w:val="002F3557"/>
    <w:rsid w:val="002F4983"/>
    <w:rsid w:val="0031677B"/>
    <w:rsid w:val="00316906"/>
    <w:rsid w:val="003210FF"/>
    <w:rsid w:val="00322AA2"/>
    <w:rsid w:val="003304C5"/>
    <w:rsid w:val="003438E0"/>
    <w:rsid w:val="00344223"/>
    <w:rsid w:val="0034514F"/>
    <w:rsid w:val="003554BA"/>
    <w:rsid w:val="00362D67"/>
    <w:rsid w:val="0036448F"/>
    <w:rsid w:val="0037190D"/>
    <w:rsid w:val="00375995"/>
    <w:rsid w:val="00384413"/>
    <w:rsid w:val="00385085"/>
    <w:rsid w:val="003A1DC4"/>
    <w:rsid w:val="003C7851"/>
    <w:rsid w:val="003D0612"/>
    <w:rsid w:val="003D1571"/>
    <w:rsid w:val="003F1AFA"/>
    <w:rsid w:val="00403F4D"/>
    <w:rsid w:val="00410F18"/>
    <w:rsid w:val="004324A6"/>
    <w:rsid w:val="004333CE"/>
    <w:rsid w:val="00435718"/>
    <w:rsid w:val="00446C7C"/>
    <w:rsid w:val="00454466"/>
    <w:rsid w:val="00461A8F"/>
    <w:rsid w:val="00466B8B"/>
    <w:rsid w:val="00470F5A"/>
    <w:rsid w:val="00474FEB"/>
    <w:rsid w:val="00487777"/>
    <w:rsid w:val="00487875"/>
    <w:rsid w:val="00487BFB"/>
    <w:rsid w:val="004A08B3"/>
    <w:rsid w:val="004A129E"/>
    <w:rsid w:val="004A14BC"/>
    <w:rsid w:val="004A3849"/>
    <w:rsid w:val="004A5E33"/>
    <w:rsid w:val="004C1D52"/>
    <w:rsid w:val="004C5025"/>
    <w:rsid w:val="004C5F6A"/>
    <w:rsid w:val="004E112B"/>
    <w:rsid w:val="004F698E"/>
    <w:rsid w:val="00503F1E"/>
    <w:rsid w:val="005078DB"/>
    <w:rsid w:val="0051563A"/>
    <w:rsid w:val="00527AB1"/>
    <w:rsid w:val="00532AA6"/>
    <w:rsid w:val="005434F6"/>
    <w:rsid w:val="005459D1"/>
    <w:rsid w:val="00545F07"/>
    <w:rsid w:val="005476F7"/>
    <w:rsid w:val="0056375F"/>
    <w:rsid w:val="00570EB9"/>
    <w:rsid w:val="0057243B"/>
    <w:rsid w:val="00581FFD"/>
    <w:rsid w:val="00583F10"/>
    <w:rsid w:val="00592548"/>
    <w:rsid w:val="005A3BC4"/>
    <w:rsid w:val="005B0D4A"/>
    <w:rsid w:val="005C6A4F"/>
    <w:rsid w:val="005E69B9"/>
    <w:rsid w:val="005F245D"/>
    <w:rsid w:val="00603B60"/>
    <w:rsid w:val="0061017B"/>
    <w:rsid w:val="0061741B"/>
    <w:rsid w:val="0062198A"/>
    <w:rsid w:val="00632092"/>
    <w:rsid w:val="00654D15"/>
    <w:rsid w:val="006621CA"/>
    <w:rsid w:val="006637CC"/>
    <w:rsid w:val="006663E5"/>
    <w:rsid w:val="00677724"/>
    <w:rsid w:val="006901F6"/>
    <w:rsid w:val="00692D41"/>
    <w:rsid w:val="0069574E"/>
    <w:rsid w:val="006B6672"/>
    <w:rsid w:val="006C5D40"/>
    <w:rsid w:val="006C6823"/>
    <w:rsid w:val="006D7A0D"/>
    <w:rsid w:val="006E636A"/>
    <w:rsid w:val="006E7031"/>
    <w:rsid w:val="006F6F3F"/>
    <w:rsid w:val="00704F3A"/>
    <w:rsid w:val="00707047"/>
    <w:rsid w:val="007119D4"/>
    <w:rsid w:val="0071539A"/>
    <w:rsid w:val="00715BBE"/>
    <w:rsid w:val="00734EA6"/>
    <w:rsid w:val="0074053A"/>
    <w:rsid w:val="00742D62"/>
    <w:rsid w:val="00745B81"/>
    <w:rsid w:val="00745E11"/>
    <w:rsid w:val="007540BC"/>
    <w:rsid w:val="0076562D"/>
    <w:rsid w:val="00791F7B"/>
    <w:rsid w:val="007A33C7"/>
    <w:rsid w:val="007A52F6"/>
    <w:rsid w:val="007B33B1"/>
    <w:rsid w:val="007C63ED"/>
    <w:rsid w:val="007D69BC"/>
    <w:rsid w:val="007D725E"/>
    <w:rsid w:val="007D7C6E"/>
    <w:rsid w:val="007E1C7F"/>
    <w:rsid w:val="007E4A89"/>
    <w:rsid w:val="007F2082"/>
    <w:rsid w:val="00807B76"/>
    <w:rsid w:val="00810EA9"/>
    <w:rsid w:val="00832598"/>
    <w:rsid w:val="00837E05"/>
    <w:rsid w:val="00843109"/>
    <w:rsid w:val="00846444"/>
    <w:rsid w:val="00850DF7"/>
    <w:rsid w:val="00861A4F"/>
    <w:rsid w:val="00867709"/>
    <w:rsid w:val="00880A84"/>
    <w:rsid w:val="00884BEC"/>
    <w:rsid w:val="008936BE"/>
    <w:rsid w:val="008A1BFE"/>
    <w:rsid w:val="008B467B"/>
    <w:rsid w:val="008C3A4E"/>
    <w:rsid w:val="008D1E8B"/>
    <w:rsid w:val="008D4889"/>
    <w:rsid w:val="008E2B1D"/>
    <w:rsid w:val="008F1FC4"/>
    <w:rsid w:val="008F51FB"/>
    <w:rsid w:val="008F6BE0"/>
    <w:rsid w:val="00900BFA"/>
    <w:rsid w:val="00904B1E"/>
    <w:rsid w:val="00904FED"/>
    <w:rsid w:val="00905EC4"/>
    <w:rsid w:val="009112FC"/>
    <w:rsid w:val="00917648"/>
    <w:rsid w:val="009209A6"/>
    <w:rsid w:val="009312A9"/>
    <w:rsid w:val="00931623"/>
    <w:rsid w:val="0093259A"/>
    <w:rsid w:val="00933324"/>
    <w:rsid w:val="00934FE1"/>
    <w:rsid w:val="00935EDE"/>
    <w:rsid w:val="009364F5"/>
    <w:rsid w:val="009466B6"/>
    <w:rsid w:val="00946E34"/>
    <w:rsid w:val="00946EC2"/>
    <w:rsid w:val="0094732A"/>
    <w:rsid w:val="009619A2"/>
    <w:rsid w:val="00963F8D"/>
    <w:rsid w:val="00964A00"/>
    <w:rsid w:val="00973E7A"/>
    <w:rsid w:val="0097557F"/>
    <w:rsid w:val="00976ABD"/>
    <w:rsid w:val="009867C4"/>
    <w:rsid w:val="00990845"/>
    <w:rsid w:val="00990BA4"/>
    <w:rsid w:val="009924F7"/>
    <w:rsid w:val="0099497B"/>
    <w:rsid w:val="00995FD4"/>
    <w:rsid w:val="009A53E3"/>
    <w:rsid w:val="009B153F"/>
    <w:rsid w:val="009C0908"/>
    <w:rsid w:val="009C316C"/>
    <w:rsid w:val="009E1B90"/>
    <w:rsid w:val="009E2C69"/>
    <w:rsid w:val="009F1C2D"/>
    <w:rsid w:val="009F3462"/>
    <w:rsid w:val="009F3595"/>
    <w:rsid w:val="009F7394"/>
    <w:rsid w:val="00A00749"/>
    <w:rsid w:val="00A0277C"/>
    <w:rsid w:val="00A02AA4"/>
    <w:rsid w:val="00A03F5D"/>
    <w:rsid w:val="00A0500F"/>
    <w:rsid w:val="00A05321"/>
    <w:rsid w:val="00A20B88"/>
    <w:rsid w:val="00A247A3"/>
    <w:rsid w:val="00A312A4"/>
    <w:rsid w:val="00A447EB"/>
    <w:rsid w:val="00A55951"/>
    <w:rsid w:val="00A560A0"/>
    <w:rsid w:val="00A62F41"/>
    <w:rsid w:val="00A652C3"/>
    <w:rsid w:val="00A842BB"/>
    <w:rsid w:val="00A8551B"/>
    <w:rsid w:val="00AA4615"/>
    <w:rsid w:val="00AB369F"/>
    <w:rsid w:val="00AC5B70"/>
    <w:rsid w:val="00AC5B97"/>
    <w:rsid w:val="00AC71E8"/>
    <w:rsid w:val="00AE6DE2"/>
    <w:rsid w:val="00B04161"/>
    <w:rsid w:val="00B104DD"/>
    <w:rsid w:val="00B12DC7"/>
    <w:rsid w:val="00B13885"/>
    <w:rsid w:val="00B13CFC"/>
    <w:rsid w:val="00B334FB"/>
    <w:rsid w:val="00B34774"/>
    <w:rsid w:val="00B377FF"/>
    <w:rsid w:val="00B42A2F"/>
    <w:rsid w:val="00B47F71"/>
    <w:rsid w:val="00B619F6"/>
    <w:rsid w:val="00B70AC8"/>
    <w:rsid w:val="00B84D2C"/>
    <w:rsid w:val="00B860AA"/>
    <w:rsid w:val="00BA03BB"/>
    <w:rsid w:val="00BA72EA"/>
    <w:rsid w:val="00BC7457"/>
    <w:rsid w:val="00BD4D83"/>
    <w:rsid w:val="00BE26AF"/>
    <w:rsid w:val="00BF2BB5"/>
    <w:rsid w:val="00C06564"/>
    <w:rsid w:val="00C23D37"/>
    <w:rsid w:val="00C23F90"/>
    <w:rsid w:val="00C25B39"/>
    <w:rsid w:val="00C50CC1"/>
    <w:rsid w:val="00C52E73"/>
    <w:rsid w:val="00C75B12"/>
    <w:rsid w:val="00C838CF"/>
    <w:rsid w:val="00CA3A07"/>
    <w:rsid w:val="00CC6985"/>
    <w:rsid w:val="00CD1A71"/>
    <w:rsid w:val="00CD74EF"/>
    <w:rsid w:val="00CF4B0F"/>
    <w:rsid w:val="00CF729D"/>
    <w:rsid w:val="00D1110C"/>
    <w:rsid w:val="00D1115D"/>
    <w:rsid w:val="00D20619"/>
    <w:rsid w:val="00D4634D"/>
    <w:rsid w:val="00D64245"/>
    <w:rsid w:val="00D73D7B"/>
    <w:rsid w:val="00D749FB"/>
    <w:rsid w:val="00D91219"/>
    <w:rsid w:val="00D95676"/>
    <w:rsid w:val="00DB2A00"/>
    <w:rsid w:val="00DB5F95"/>
    <w:rsid w:val="00DC1C1D"/>
    <w:rsid w:val="00DD07FD"/>
    <w:rsid w:val="00DD6C76"/>
    <w:rsid w:val="00DF4351"/>
    <w:rsid w:val="00DF798B"/>
    <w:rsid w:val="00E04507"/>
    <w:rsid w:val="00E05323"/>
    <w:rsid w:val="00E05E2E"/>
    <w:rsid w:val="00E13214"/>
    <w:rsid w:val="00E1355C"/>
    <w:rsid w:val="00E20FB5"/>
    <w:rsid w:val="00E34282"/>
    <w:rsid w:val="00E4117F"/>
    <w:rsid w:val="00E44AB4"/>
    <w:rsid w:val="00E46851"/>
    <w:rsid w:val="00E52105"/>
    <w:rsid w:val="00E53B4C"/>
    <w:rsid w:val="00E636F1"/>
    <w:rsid w:val="00E640B9"/>
    <w:rsid w:val="00E656A8"/>
    <w:rsid w:val="00E66856"/>
    <w:rsid w:val="00E76135"/>
    <w:rsid w:val="00E85762"/>
    <w:rsid w:val="00EB2FB7"/>
    <w:rsid w:val="00EC099A"/>
    <w:rsid w:val="00EC5851"/>
    <w:rsid w:val="00EE1218"/>
    <w:rsid w:val="00EE1A67"/>
    <w:rsid w:val="00EE7029"/>
    <w:rsid w:val="00EF4354"/>
    <w:rsid w:val="00F023E3"/>
    <w:rsid w:val="00F02AA6"/>
    <w:rsid w:val="00F07844"/>
    <w:rsid w:val="00F321E4"/>
    <w:rsid w:val="00F337FF"/>
    <w:rsid w:val="00F41E15"/>
    <w:rsid w:val="00F41F13"/>
    <w:rsid w:val="00F44BC6"/>
    <w:rsid w:val="00F459ED"/>
    <w:rsid w:val="00F47FFC"/>
    <w:rsid w:val="00F503A3"/>
    <w:rsid w:val="00F561EA"/>
    <w:rsid w:val="00F56390"/>
    <w:rsid w:val="00F67FAC"/>
    <w:rsid w:val="00F71243"/>
    <w:rsid w:val="00F727A3"/>
    <w:rsid w:val="00F83781"/>
    <w:rsid w:val="00F95166"/>
    <w:rsid w:val="00FA0568"/>
    <w:rsid w:val="00FA307B"/>
    <w:rsid w:val="00FB7742"/>
    <w:rsid w:val="00FC007B"/>
    <w:rsid w:val="00FD22BB"/>
    <w:rsid w:val="00FD3495"/>
    <w:rsid w:val="00FE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B5AA8"/>
  <w15:chartTrackingRefBased/>
  <w15:docId w15:val="{5845AC07-D5F4-444B-8E30-5951A6CA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E33"/>
    <w:pPr>
      <w:widowControl w:val="0"/>
      <w:bidi/>
      <w:spacing w:after="0" w:line="360" w:lineRule="auto"/>
      <w:ind w:left="340"/>
      <w:contextualSpacing/>
      <w:jc w:val="both"/>
    </w:pPr>
    <w:rPr>
      <w:rFonts w:ascii="David" w:hAnsi="David" w:cs="David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5E33"/>
    <w:pPr>
      <w:keepNext/>
      <w:keepLines/>
      <w:spacing w:before="240"/>
      <w:jc w:val="center"/>
      <w:outlineLvl w:val="0"/>
    </w:pPr>
    <w:rPr>
      <w:rFonts w:asciiTheme="majorHAnsi" w:eastAsiaTheme="majorEastAsia" w:hAnsiTheme="majorHAnsi"/>
      <w:bCs/>
      <w:sz w:val="32"/>
      <w:szCs w:val="36"/>
    </w:rPr>
  </w:style>
  <w:style w:type="paragraph" w:styleId="2">
    <w:name w:val="heading 2"/>
    <w:basedOn w:val="a"/>
    <w:next w:val="a"/>
    <w:link w:val="20"/>
    <w:unhideWhenUsed/>
    <w:qFormat/>
    <w:rsid w:val="004A5E33"/>
    <w:pPr>
      <w:ind w:left="0"/>
      <w:jc w:val="left"/>
      <w:outlineLvl w:val="1"/>
    </w:pPr>
    <w:rPr>
      <w:rFonts w:asciiTheme="majorHAnsi" w:eastAsiaTheme="majorEastAsia" w:hAnsiTheme="majorHAnsi"/>
      <w:bCs/>
      <w:sz w:val="26"/>
      <w:szCs w:val="36"/>
      <w:u w:val="single"/>
    </w:rPr>
  </w:style>
  <w:style w:type="paragraph" w:styleId="3">
    <w:name w:val="heading 3"/>
    <w:basedOn w:val="a"/>
    <w:next w:val="a"/>
    <w:link w:val="30"/>
    <w:unhideWhenUsed/>
    <w:qFormat/>
    <w:rsid w:val="004A5E33"/>
    <w:pPr>
      <w:spacing w:before="40"/>
      <w:ind w:left="0"/>
      <w:jc w:val="left"/>
      <w:outlineLvl w:val="2"/>
    </w:pPr>
    <w:rPr>
      <w:rFonts w:asciiTheme="majorHAnsi" w:eastAsiaTheme="majorEastAsia" w:hAnsiTheme="majorHAnsi"/>
      <w:szCs w:val="28"/>
      <w:u w:val="double"/>
    </w:rPr>
  </w:style>
  <w:style w:type="paragraph" w:styleId="4">
    <w:name w:val="heading 4"/>
    <w:basedOn w:val="a"/>
    <w:next w:val="a"/>
    <w:link w:val="40"/>
    <w:uiPriority w:val="9"/>
    <w:unhideWhenUsed/>
    <w:qFormat/>
    <w:rsid w:val="004A5E33"/>
    <w:pPr>
      <w:numPr>
        <w:numId w:val="1"/>
      </w:numPr>
      <w:spacing w:before="40" w:after="120"/>
      <w:outlineLvl w:val="3"/>
    </w:pPr>
    <w:rPr>
      <w:b/>
      <w:bCs/>
      <w:color w:val="000000" w:themeColor="text1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A5E33"/>
    <w:pPr>
      <w:spacing w:line="259" w:lineRule="auto"/>
      <w:outlineLvl w:val="4"/>
    </w:pPr>
    <w:rPr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4A5E33"/>
    <w:rPr>
      <w:rFonts w:asciiTheme="majorHAnsi" w:eastAsiaTheme="majorEastAsia" w:hAnsiTheme="majorHAnsi" w:cs="David"/>
      <w:bCs/>
      <w:sz w:val="32"/>
      <w:szCs w:val="36"/>
    </w:rPr>
  </w:style>
  <w:style w:type="character" w:customStyle="1" w:styleId="40">
    <w:name w:val="כותרת 4 תו"/>
    <w:basedOn w:val="a0"/>
    <w:link w:val="4"/>
    <w:uiPriority w:val="9"/>
    <w:rsid w:val="004A5E33"/>
    <w:rPr>
      <w:rFonts w:ascii="David" w:hAnsi="David" w:cs="David"/>
      <w:b/>
      <w:bCs/>
      <w:color w:val="000000" w:themeColor="text1"/>
      <w:sz w:val="24"/>
      <w:szCs w:val="28"/>
    </w:rPr>
  </w:style>
  <w:style w:type="paragraph" w:customStyle="1" w:styleId="TableText">
    <w:name w:val="Table Text"/>
    <w:basedOn w:val="a"/>
    <w:rsid w:val="004A5E33"/>
    <w:pPr>
      <w:keepLines/>
      <w:tabs>
        <w:tab w:val="left" w:pos="624"/>
        <w:tab w:val="left" w:pos="1247"/>
      </w:tabs>
      <w:snapToGrid w:val="0"/>
      <w:ind w:left="0"/>
      <w:jc w:val="left"/>
    </w:pPr>
    <w:rPr>
      <w:rFonts w:ascii="Arial" w:eastAsia="Arial Unicode MS" w:hAnsi="Arial"/>
      <w:snapToGrid w:val="0"/>
      <w:sz w:val="20"/>
      <w:szCs w:val="26"/>
    </w:rPr>
  </w:style>
  <w:style w:type="paragraph" w:customStyle="1" w:styleId="TableSideHeading">
    <w:name w:val="Table SideHeading"/>
    <w:basedOn w:val="TableText"/>
    <w:rsid w:val="004A5E33"/>
    <w:pPr>
      <w:outlineLvl w:val="2"/>
    </w:pPr>
  </w:style>
  <w:style w:type="paragraph" w:customStyle="1" w:styleId="TableBlock">
    <w:name w:val="Table Block"/>
    <w:basedOn w:val="TableText"/>
    <w:rsid w:val="004A5E33"/>
    <w:pPr>
      <w:jc w:val="both"/>
    </w:pPr>
  </w:style>
  <w:style w:type="paragraph" w:customStyle="1" w:styleId="TableHead">
    <w:name w:val="Table Head"/>
    <w:basedOn w:val="TableText"/>
    <w:rsid w:val="004A5E33"/>
    <w:pPr>
      <w:jc w:val="center"/>
      <w:outlineLvl w:val="1"/>
    </w:pPr>
    <w:rPr>
      <w:b/>
      <w:bCs/>
    </w:rPr>
  </w:style>
  <w:style w:type="paragraph" w:customStyle="1" w:styleId="HeadMitparsemetBaze">
    <w:name w:val="Head MitparsemetBaze"/>
    <w:basedOn w:val="a"/>
    <w:rsid w:val="004A5E33"/>
    <w:pPr>
      <w:keepNext/>
      <w:keepLines/>
      <w:pageBreakBefore/>
      <w:snapToGrid w:val="0"/>
      <w:spacing w:before="480"/>
    </w:pPr>
    <w:rPr>
      <w:rFonts w:ascii="Arial" w:eastAsia="Arial Unicode MS" w:hAnsi="Arial"/>
      <w:b/>
      <w:bCs/>
      <w:snapToGrid w:val="0"/>
      <w:sz w:val="20"/>
      <w:szCs w:val="26"/>
    </w:rPr>
  </w:style>
  <w:style w:type="paragraph" w:customStyle="1" w:styleId="HeadHatzaotHok">
    <w:name w:val="Head HatzaotHok"/>
    <w:basedOn w:val="a"/>
    <w:rsid w:val="004A5E33"/>
    <w:pPr>
      <w:keepNext/>
      <w:keepLines/>
      <w:snapToGrid w:val="0"/>
      <w:spacing w:before="240"/>
      <w:jc w:val="center"/>
      <w:outlineLvl w:val="0"/>
    </w:pPr>
    <w:rPr>
      <w:rFonts w:ascii="Arial" w:eastAsia="Arial Unicode MS" w:hAnsi="Arial"/>
      <w:b/>
      <w:bCs/>
      <w:snapToGrid w:val="0"/>
      <w:sz w:val="20"/>
      <w:szCs w:val="26"/>
    </w:rPr>
  </w:style>
  <w:style w:type="paragraph" w:customStyle="1" w:styleId="Hesber1st">
    <w:name w:val="Hesber 1st"/>
    <w:basedOn w:val="Hesber"/>
    <w:rsid w:val="004A5E33"/>
    <w:pPr>
      <w:tabs>
        <w:tab w:val="left" w:pos="680"/>
        <w:tab w:val="left" w:pos="1020"/>
      </w:tabs>
      <w:ind w:firstLine="0"/>
    </w:pPr>
  </w:style>
  <w:style w:type="paragraph" w:customStyle="1" w:styleId="HeadDivreiHesber">
    <w:name w:val="Head DivreiHesber"/>
    <w:basedOn w:val="a"/>
    <w:rsid w:val="004A5E33"/>
    <w:pPr>
      <w:snapToGrid w:val="0"/>
      <w:spacing w:before="360" w:after="120"/>
      <w:jc w:val="center"/>
      <w:outlineLvl w:val="1"/>
    </w:pPr>
    <w:rPr>
      <w:rFonts w:ascii="Arial" w:eastAsia="Arial Unicode MS" w:hAnsi="Arial"/>
      <w:b/>
      <w:snapToGrid w:val="0"/>
      <w:spacing w:val="40"/>
      <w:sz w:val="20"/>
      <w:szCs w:val="26"/>
    </w:rPr>
  </w:style>
  <w:style w:type="character" w:customStyle="1" w:styleId="20">
    <w:name w:val="כותרת 2 תו"/>
    <w:basedOn w:val="a0"/>
    <w:link w:val="2"/>
    <w:rsid w:val="004A5E33"/>
    <w:rPr>
      <w:rFonts w:asciiTheme="majorHAnsi" w:eastAsiaTheme="majorEastAsia" w:hAnsiTheme="majorHAnsi" w:cs="David"/>
      <w:bCs/>
      <w:sz w:val="26"/>
      <w:szCs w:val="36"/>
      <w:u w:val="single"/>
    </w:rPr>
  </w:style>
  <w:style w:type="character" w:customStyle="1" w:styleId="30">
    <w:name w:val="כותרת 3 תו"/>
    <w:basedOn w:val="a0"/>
    <w:link w:val="3"/>
    <w:rsid w:val="004A5E33"/>
    <w:rPr>
      <w:rFonts w:asciiTheme="majorHAnsi" w:eastAsiaTheme="majorEastAsia" w:hAnsiTheme="majorHAnsi" w:cs="David"/>
      <w:sz w:val="24"/>
      <w:szCs w:val="28"/>
      <w:u w:val="double"/>
    </w:rPr>
  </w:style>
  <w:style w:type="character" w:customStyle="1" w:styleId="50">
    <w:name w:val="כותרת 5 תו"/>
    <w:basedOn w:val="a0"/>
    <w:link w:val="5"/>
    <w:uiPriority w:val="9"/>
    <w:rsid w:val="004A5E33"/>
    <w:rPr>
      <w:rFonts w:ascii="David" w:hAnsi="David" w:cs="David"/>
      <w:color w:val="000000" w:themeColor="text1"/>
      <w:sz w:val="24"/>
      <w:szCs w:val="24"/>
    </w:rPr>
  </w:style>
  <w:style w:type="paragraph" w:customStyle="1" w:styleId="HeadHatzaotHok4Futer">
    <w:name w:val="Head HatzaotHok4Futer"/>
    <w:basedOn w:val="HeadHatzaotHok"/>
    <w:rsid w:val="004A5E33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link w:val="a4"/>
    <w:semiHidden/>
    <w:rsid w:val="004A5E33"/>
    <w:pPr>
      <w:ind w:left="227" w:hanging="227"/>
    </w:pPr>
    <w:rPr>
      <w:sz w:val="14"/>
      <w:szCs w:val="22"/>
    </w:rPr>
  </w:style>
  <w:style w:type="character" w:customStyle="1" w:styleId="a4">
    <w:name w:val="טקסט הערת סיום תו"/>
    <w:basedOn w:val="a0"/>
    <w:link w:val="a3"/>
    <w:semiHidden/>
    <w:rsid w:val="00DD6C76"/>
    <w:rPr>
      <w:rFonts w:ascii="David" w:hAnsi="David" w:cs="David"/>
      <w:sz w:val="14"/>
    </w:rPr>
  </w:style>
  <w:style w:type="paragraph" w:customStyle="1" w:styleId="TableInnerSideHeading">
    <w:name w:val="Table InnerSideHeading"/>
    <w:basedOn w:val="TableSideHeading"/>
    <w:rsid w:val="004A5E33"/>
    <w:pPr>
      <w:outlineLvl w:val="9"/>
    </w:pPr>
  </w:style>
  <w:style w:type="paragraph" w:customStyle="1" w:styleId="Hesber">
    <w:name w:val="Hesber"/>
    <w:basedOn w:val="a"/>
    <w:rsid w:val="004A5E33"/>
    <w:pPr>
      <w:snapToGrid w:val="0"/>
      <w:ind w:left="0" w:firstLine="340"/>
    </w:pPr>
    <w:rPr>
      <w:rFonts w:ascii="Arial" w:eastAsia="Arial Unicode MS" w:hAnsi="Arial"/>
      <w:snapToGrid w:val="0"/>
      <w:sz w:val="20"/>
      <w:szCs w:val="26"/>
    </w:rPr>
  </w:style>
  <w:style w:type="paragraph" w:styleId="a5">
    <w:name w:val="footnote text"/>
    <w:basedOn w:val="a"/>
    <w:link w:val="a6"/>
    <w:autoRedefine/>
    <w:semiHidden/>
    <w:rsid w:val="004A5E33"/>
    <w:pPr>
      <w:snapToGrid w:val="0"/>
      <w:spacing w:line="240" w:lineRule="auto"/>
      <w:ind w:left="0"/>
      <w:jc w:val="left"/>
    </w:pPr>
    <w:rPr>
      <w:rFonts w:ascii="Arial" w:eastAsia="Arial Unicode MS" w:hAnsi="Arial"/>
      <w:snapToGrid w:val="0"/>
      <w:sz w:val="14"/>
      <w:szCs w:val="20"/>
    </w:rPr>
  </w:style>
  <w:style w:type="character" w:customStyle="1" w:styleId="a6">
    <w:name w:val="טקסט הערת שוליים תו"/>
    <w:basedOn w:val="a0"/>
    <w:link w:val="a5"/>
    <w:semiHidden/>
    <w:rsid w:val="00DD6C76"/>
    <w:rPr>
      <w:rFonts w:ascii="Arial" w:eastAsia="Arial Unicode MS" w:hAnsi="Arial" w:cs="David"/>
      <w:snapToGrid w:val="0"/>
      <w:sz w:val="14"/>
      <w:szCs w:val="20"/>
    </w:rPr>
  </w:style>
  <w:style w:type="character" w:styleId="a7">
    <w:name w:val="footnote reference"/>
    <w:basedOn w:val="a0"/>
    <w:semiHidden/>
    <w:rsid w:val="004A5E33"/>
    <w:rPr>
      <w:vertAlign w:val="superscript"/>
    </w:rPr>
  </w:style>
  <w:style w:type="paragraph" w:customStyle="1" w:styleId="HesberHeading">
    <w:name w:val="Hesber Heading"/>
    <w:basedOn w:val="Hesber"/>
    <w:rsid w:val="004A5E33"/>
    <w:pPr>
      <w:tabs>
        <w:tab w:val="left" w:pos="624"/>
        <w:tab w:val="left" w:pos="1247"/>
      </w:tabs>
    </w:pPr>
    <w:rPr>
      <w:b/>
      <w:bCs/>
    </w:rPr>
  </w:style>
  <w:style w:type="paragraph" w:customStyle="1" w:styleId="HesberWriters">
    <w:name w:val="Hesber Writers"/>
    <w:basedOn w:val="Hesber"/>
    <w:rsid w:val="004A5E33"/>
    <w:pPr>
      <w:spacing w:before="120" w:after="120"/>
      <w:ind w:left="1418"/>
      <w:jc w:val="right"/>
    </w:pPr>
    <w:rPr>
      <w:b/>
      <w:bCs/>
    </w:rPr>
  </w:style>
  <w:style w:type="character" w:styleId="a8">
    <w:name w:val="endnote reference"/>
    <w:basedOn w:val="a0"/>
    <w:semiHidden/>
    <w:rsid w:val="004A5E33"/>
    <w:rPr>
      <w:vertAlign w:val="superscript"/>
    </w:rPr>
  </w:style>
  <w:style w:type="paragraph" w:customStyle="1" w:styleId="TableBlockOutdent">
    <w:name w:val="Table BlockOutdent"/>
    <w:basedOn w:val="TableBlock"/>
    <w:rsid w:val="004A5E33"/>
    <w:pPr>
      <w:ind w:left="624" w:hanging="624"/>
    </w:pPr>
  </w:style>
  <w:style w:type="paragraph" w:styleId="a9">
    <w:name w:val="header"/>
    <w:basedOn w:val="a"/>
    <w:link w:val="aa"/>
    <w:rsid w:val="004A5E33"/>
    <w:pPr>
      <w:tabs>
        <w:tab w:val="center" w:pos="4153"/>
        <w:tab w:val="right" w:pos="8306"/>
      </w:tabs>
    </w:pPr>
  </w:style>
  <w:style w:type="character" w:customStyle="1" w:styleId="aa">
    <w:name w:val="כותרת עליונה תו"/>
    <w:basedOn w:val="a0"/>
    <w:link w:val="a9"/>
    <w:rsid w:val="00DD6C76"/>
    <w:rPr>
      <w:rFonts w:ascii="David" w:hAnsi="David" w:cs="David"/>
      <w:sz w:val="24"/>
      <w:szCs w:val="24"/>
    </w:rPr>
  </w:style>
  <w:style w:type="paragraph" w:styleId="ab">
    <w:name w:val="footer"/>
    <w:basedOn w:val="a"/>
    <w:link w:val="ac"/>
    <w:rsid w:val="004A5E33"/>
    <w:pPr>
      <w:tabs>
        <w:tab w:val="center" w:pos="4153"/>
        <w:tab w:val="right" w:pos="8306"/>
      </w:tabs>
    </w:pPr>
  </w:style>
  <w:style w:type="character" w:customStyle="1" w:styleId="ac">
    <w:name w:val="כותרת תחתונה תו"/>
    <w:basedOn w:val="a0"/>
    <w:link w:val="ab"/>
    <w:rsid w:val="00DD6C76"/>
    <w:rPr>
      <w:rFonts w:ascii="David" w:hAnsi="David" w:cs="David"/>
      <w:sz w:val="24"/>
      <w:szCs w:val="24"/>
    </w:rPr>
  </w:style>
  <w:style w:type="character" w:styleId="ad">
    <w:name w:val="page number"/>
    <w:basedOn w:val="a0"/>
    <w:rsid w:val="004A5E33"/>
  </w:style>
  <w:style w:type="paragraph" w:customStyle="1" w:styleId="Cover1-Reshumot">
    <w:name w:val="Cover 1-Reshumot"/>
    <w:basedOn w:val="a"/>
    <w:rsid w:val="004A5E33"/>
    <w:pPr>
      <w:tabs>
        <w:tab w:val="left" w:pos="1191"/>
        <w:tab w:val="left" w:pos="1587"/>
      </w:tabs>
      <w:snapToGrid w:val="0"/>
      <w:spacing w:before="240" w:after="240" w:line="480" w:lineRule="auto"/>
      <w:jc w:val="center"/>
    </w:pPr>
    <w:rPr>
      <w:rFonts w:ascii="Arial" w:eastAsia="Arial Unicode MS" w:hAnsi="Arial"/>
      <w:snapToGrid w:val="0"/>
      <w:sz w:val="20"/>
      <w:szCs w:val="26"/>
    </w:rPr>
  </w:style>
  <w:style w:type="paragraph" w:customStyle="1" w:styleId="Cover2-HatzaotHok">
    <w:name w:val="Cover 2-HatzaotHok"/>
    <w:basedOn w:val="Cover1-Reshumot"/>
    <w:rsid w:val="004A5E33"/>
    <w:rPr>
      <w:sz w:val="36"/>
      <w:szCs w:val="52"/>
    </w:rPr>
  </w:style>
  <w:style w:type="paragraph" w:customStyle="1" w:styleId="Cover3-Haknesset">
    <w:name w:val="Cover 3-Haknesset"/>
    <w:basedOn w:val="Cover1-Reshumot"/>
    <w:rsid w:val="004A5E33"/>
    <w:rPr>
      <w:b/>
      <w:bCs/>
      <w:spacing w:val="60"/>
    </w:rPr>
  </w:style>
  <w:style w:type="paragraph" w:customStyle="1" w:styleId="Cover4-Date">
    <w:name w:val="Cover 4-Date"/>
    <w:basedOn w:val="a"/>
    <w:rsid w:val="004A5E33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/>
      <w:jc w:val="left"/>
    </w:pPr>
    <w:rPr>
      <w:rFonts w:ascii="Arial" w:eastAsia="Arial Unicode MS" w:hAnsi="Arial"/>
      <w:snapToGrid w:val="0"/>
      <w:sz w:val="20"/>
      <w:szCs w:val="26"/>
    </w:rPr>
  </w:style>
  <w:style w:type="paragraph" w:customStyle="1" w:styleId="Ragil">
    <w:name w:val="Ragil"/>
    <w:basedOn w:val="a"/>
    <w:rsid w:val="004A5E33"/>
    <w:pPr>
      <w:snapToGrid w:val="0"/>
      <w:jc w:val="left"/>
    </w:pPr>
    <w:rPr>
      <w:rFonts w:ascii="Arial" w:eastAsia="Arial Unicode MS" w:hAnsi="Arial"/>
      <w:snapToGrid w:val="0"/>
      <w:sz w:val="20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4A5E33"/>
    <w:pPr>
      <w:widowControl/>
      <w:spacing w:before="120" w:after="120"/>
      <w:outlineLvl w:val="9"/>
    </w:pPr>
    <w:rPr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4A5E33"/>
    <w:pPr>
      <w:tabs>
        <w:tab w:val="right" w:leader="dot" w:pos="9629"/>
      </w:tabs>
      <w:spacing w:after="100"/>
    </w:pPr>
    <w:rPr>
      <w:bCs/>
      <w:szCs w:val="22"/>
    </w:rPr>
  </w:style>
  <w:style w:type="paragraph" w:styleId="TOC2">
    <w:name w:val="toc 2"/>
    <w:basedOn w:val="a"/>
    <w:next w:val="a"/>
    <w:uiPriority w:val="39"/>
    <w:unhideWhenUsed/>
    <w:rsid w:val="004A5E33"/>
    <w:pPr>
      <w:tabs>
        <w:tab w:val="right" w:leader="dot" w:pos="9628"/>
      </w:tabs>
      <w:spacing w:after="100"/>
    </w:pPr>
    <w:rPr>
      <w:szCs w:val="22"/>
    </w:rPr>
  </w:style>
  <w:style w:type="character" w:styleId="Hyperlink">
    <w:name w:val="Hyperlink"/>
    <w:basedOn w:val="a0"/>
    <w:uiPriority w:val="99"/>
    <w:unhideWhenUsed/>
    <w:rsid w:val="004A5E33"/>
    <w:rPr>
      <w:color w:val="0563C1" w:themeColor="hyperlink"/>
      <w:u w:val="single"/>
    </w:rPr>
  </w:style>
  <w:style w:type="paragraph" w:styleId="TOC3">
    <w:name w:val="toc 3"/>
    <w:basedOn w:val="a"/>
    <w:next w:val="a"/>
    <w:uiPriority w:val="39"/>
    <w:unhideWhenUsed/>
    <w:rsid w:val="004A5E33"/>
    <w:pPr>
      <w:numPr>
        <w:numId w:val="19"/>
      </w:numPr>
      <w:tabs>
        <w:tab w:val="right" w:leader="dot" w:pos="9629"/>
      </w:tabs>
      <w:spacing w:after="100"/>
      <w:ind w:left="811" w:hanging="357"/>
    </w:pPr>
    <w:rPr>
      <w:szCs w:val="22"/>
    </w:rPr>
  </w:style>
  <w:style w:type="paragraph" w:styleId="TOC4">
    <w:name w:val="toc 4"/>
    <w:basedOn w:val="a"/>
    <w:next w:val="a"/>
    <w:autoRedefine/>
    <w:uiPriority w:val="39"/>
    <w:unhideWhenUsed/>
    <w:qFormat/>
    <w:rsid w:val="004A5E33"/>
    <w:pPr>
      <w:tabs>
        <w:tab w:val="right" w:leader="dot" w:pos="9628"/>
      </w:tabs>
      <w:spacing w:after="100"/>
      <w:ind w:left="567"/>
    </w:pPr>
    <w:rPr>
      <w:rFonts w:asciiTheme="minorHAnsi" w:eastAsiaTheme="minorEastAsia" w:hAnsiTheme="minorHAnsi"/>
      <w:noProof/>
      <w:sz w:val="22"/>
      <w:szCs w:val="22"/>
    </w:rPr>
  </w:style>
  <w:style w:type="paragraph" w:styleId="TOC5">
    <w:name w:val="toc 5"/>
    <w:basedOn w:val="a"/>
    <w:next w:val="a"/>
    <w:semiHidden/>
    <w:unhideWhenUsed/>
    <w:rsid w:val="004A5E33"/>
    <w:pPr>
      <w:tabs>
        <w:tab w:val="right" w:leader="dot" w:pos="9628"/>
      </w:tabs>
      <w:spacing w:after="100"/>
      <w:ind w:left="567"/>
    </w:pPr>
    <w:rPr>
      <w:szCs w:val="22"/>
    </w:rPr>
  </w:style>
  <w:style w:type="paragraph" w:styleId="TOC6">
    <w:name w:val="toc 6"/>
    <w:basedOn w:val="a"/>
    <w:next w:val="a"/>
    <w:autoRedefine/>
    <w:semiHidden/>
    <w:unhideWhenUsed/>
    <w:rsid w:val="004A5E33"/>
    <w:pPr>
      <w:spacing w:after="100"/>
      <w:ind w:left="850"/>
    </w:pPr>
  </w:style>
  <w:style w:type="paragraph" w:styleId="TOC7">
    <w:name w:val="toc 7"/>
    <w:basedOn w:val="a"/>
    <w:next w:val="a"/>
    <w:autoRedefine/>
    <w:semiHidden/>
    <w:unhideWhenUsed/>
    <w:rsid w:val="004A5E33"/>
    <w:pPr>
      <w:spacing w:after="100"/>
      <w:ind w:left="1020"/>
    </w:pPr>
  </w:style>
  <w:style w:type="paragraph" w:styleId="TOC8">
    <w:name w:val="toc 8"/>
    <w:basedOn w:val="a"/>
    <w:next w:val="a"/>
    <w:autoRedefine/>
    <w:semiHidden/>
    <w:unhideWhenUsed/>
    <w:rsid w:val="004A5E33"/>
    <w:pPr>
      <w:spacing w:after="100"/>
      <w:ind w:left="1190"/>
    </w:pPr>
  </w:style>
  <w:style w:type="paragraph" w:styleId="TOC9">
    <w:name w:val="toc 9"/>
    <w:basedOn w:val="a"/>
    <w:next w:val="a"/>
    <w:autoRedefine/>
    <w:semiHidden/>
    <w:unhideWhenUsed/>
    <w:rsid w:val="004A5E33"/>
    <w:pPr>
      <w:spacing w:after="100"/>
      <w:ind w:left="1360"/>
    </w:pPr>
  </w:style>
  <w:style w:type="paragraph" w:customStyle="1" w:styleId="TableHead2">
    <w:name w:val="Table Head2"/>
    <w:basedOn w:val="TableHead"/>
    <w:qFormat/>
    <w:rsid w:val="004A5E33"/>
    <w:pPr>
      <w:outlineLvl w:val="9"/>
    </w:pPr>
  </w:style>
  <w:style w:type="paragraph" w:customStyle="1" w:styleId="TableSideHeading2">
    <w:name w:val="Table SideHeading2"/>
    <w:basedOn w:val="TableSideHeading"/>
    <w:autoRedefine/>
    <w:qFormat/>
    <w:rsid w:val="004A5E33"/>
    <w:pPr>
      <w:keepLines w:val="0"/>
      <w:outlineLvl w:val="9"/>
    </w:pPr>
  </w:style>
  <w:style w:type="paragraph" w:customStyle="1" w:styleId="0">
    <w:name w:val="סגנון שורה ראשונה:  0  ס''מ"/>
    <w:basedOn w:val="2"/>
    <w:rsid w:val="004A5E33"/>
    <w:rPr>
      <w:rFonts w:eastAsia="Times New Roman"/>
    </w:rPr>
  </w:style>
  <w:style w:type="paragraph" w:styleId="af">
    <w:name w:val="List Paragraph"/>
    <w:basedOn w:val="a"/>
    <w:uiPriority w:val="34"/>
    <w:qFormat/>
    <w:rsid w:val="004A5E33"/>
    <w:pPr>
      <w:widowControl/>
      <w:spacing w:line="259" w:lineRule="auto"/>
    </w:pPr>
    <w:rPr>
      <w:rFonts w:asciiTheme="minorHAnsi" w:hAnsiTheme="minorHAnsi"/>
      <w:sz w:val="22"/>
    </w:rPr>
  </w:style>
  <w:style w:type="table" w:styleId="af0">
    <w:name w:val="Table Grid"/>
    <w:basedOn w:val="a1"/>
    <w:rsid w:val="004A5E33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Plain Table 1"/>
    <w:basedOn w:val="a1"/>
    <w:uiPriority w:val="41"/>
    <w:rsid w:val="004A5E33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2">
    <w:name w:val="Grid Table 1 Light"/>
    <w:basedOn w:val="a1"/>
    <w:uiPriority w:val="46"/>
    <w:rsid w:val="004A5E33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f1">
    <w:name w:val="טבלת חקיקה"/>
    <w:basedOn w:val="a1"/>
    <w:uiPriority w:val="99"/>
    <w:rsid w:val="004A5E33"/>
    <w:pPr>
      <w:spacing w:after="0" w:line="240" w:lineRule="auto"/>
      <w:jc w:val="center"/>
    </w:pPr>
    <w:rPr>
      <w:rFonts w:ascii="Times New Roman" w:eastAsia="MS Mincho" w:hAnsi="Times New Roman"/>
      <w:sz w:val="20"/>
      <w:szCs w:val="20"/>
    </w:rPr>
    <w:tblPr/>
    <w:tcPr>
      <w:tcMar>
        <w:left w:w="0" w:type="dxa"/>
        <w:right w:w="0" w:type="dxa"/>
      </w:tcMar>
      <w:vAlign w:val="center"/>
    </w:tcPr>
    <w:tblStylePr w:type="firstRow">
      <w:pPr>
        <w:jc w:val="center"/>
      </w:pPr>
      <w:rPr>
        <w:rFonts w:cs="David"/>
        <w:bCs/>
        <w:szCs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10" w:color="auto" w:fill="auto"/>
      </w:tcPr>
    </w:tblStylePr>
    <w:tblStylePr w:type="firstCol">
      <w:tblPr/>
      <w:tcPr>
        <w:noWrap/>
      </w:tcPr>
    </w:tblStylePr>
    <w:tblStylePr w:type="lastCol">
      <w:pPr>
        <w:jc w:val="center"/>
      </w:pPr>
      <w:tblPr/>
      <w:tcPr>
        <w:noWrap/>
      </w:tcPr>
    </w:tblStylePr>
  </w:style>
  <w:style w:type="table" w:customStyle="1" w:styleId="13">
    <w:name w:val="סגנון1"/>
    <w:basedOn w:val="a1"/>
    <w:uiPriority w:val="99"/>
    <w:rsid w:val="004A5E33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blStylePr w:type="firstCol">
      <w:pPr>
        <w:keepNext w:val="0"/>
        <w:keepLines/>
        <w:pageBreakBefore w:val="0"/>
        <w:widowControl w:val="0"/>
        <w:suppressLineNumbers w:val="0"/>
        <w:suppressAutoHyphens w:val="0"/>
        <w:wordWrap/>
      </w:pPr>
    </w:tblStylePr>
  </w:style>
  <w:style w:type="character" w:styleId="af2">
    <w:name w:val="annotation reference"/>
    <w:basedOn w:val="a0"/>
    <w:uiPriority w:val="99"/>
    <w:semiHidden/>
    <w:unhideWhenUsed/>
    <w:rsid w:val="0025657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56579"/>
    <w:pPr>
      <w:spacing w:line="240" w:lineRule="auto"/>
    </w:pPr>
    <w:rPr>
      <w:sz w:val="20"/>
      <w:szCs w:val="20"/>
    </w:rPr>
  </w:style>
  <w:style w:type="character" w:customStyle="1" w:styleId="af4">
    <w:name w:val="טקסט הערה תו"/>
    <w:basedOn w:val="a0"/>
    <w:link w:val="af3"/>
    <w:uiPriority w:val="99"/>
    <w:semiHidden/>
    <w:rsid w:val="00256579"/>
    <w:rPr>
      <w:rFonts w:ascii="David" w:hAnsi="David" w:cs="David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56579"/>
    <w:rPr>
      <w:b/>
      <w:bCs/>
    </w:rPr>
  </w:style>
  <w:style w:type="character" w:customStyle="1" w:styleId="af6">
    <w:name w:val="נושא הערה תו"/>
    <w:basedOn w:val="af4"/>
    <w:link w:val="af5"/>
    <w:uiPriority w:val="99"/>
    <w:semiHidden/>
    <w:rsid w:val="00256579"/>
    <w:rPr>
      <w:rFonts w:ascii="David" w:hAnsi="David" w:cs="David"/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256579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f8">
    <w:name w:val="טקסט בלונים תו"/>
    <w:basedOn w:val="a0"/>
    <w:link w:val="af7"/>
    <w:uiPriority w:val="99"/>
    <w:semiHidden/>
    <w:rsid w:val="0025657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4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3136</Words>
  <Characters>15680</Characters>
  <Application>Microsoft Office Word</Application>
  <DocSecurity>0</DocSecurity>
  <Lines>130</Lines>
  <Paragraphs>37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ITC</Company>
  <LinksUpToDate>false</LinksUpToDate>
  <CharactersWithSpaces>18779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אפרת ריץ</dc:creator>
  <cp:keywords/>
  <dc:description/>
  <cp:lastModifiedBy>Haya</cp:lastModifiedBy>
  <cp:revision>2</cp:revision>
  <dcterms:created xsi:type="dcterms:W3CDTF">2023-11-06T09:00:00Z</dcterms:created>
  <dcterms:modified xsi:type="dcterms:W3CDTF">2023-11-06T09:00:00Z</dcterms:modified>
</cp:coreProperties>
</file>